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828B" w14:textId="77777777" w:rsidR="00AF57CA" w:rsidRPr="008B1A54" w:rsidRDefault="00704094" w:rsidP="008B1A54">
      <w:pPr>
        <w:pStyle w:val="berschrift4"/>
        <w:rPr>
          <w:rFonts w:ascii="Arial" w:hAnsi="Arial" w:cs="Arial"/>
          <w:sz w:val="24"/>
          <w:szCs w:val="24"/>
        </w:rPr>
      </w:pPr>
      <w:r>
        <w:rPr>
          <w:noProof/>
          <w:sz w:val="20"/>
          <w:lang w:val="de-DE"/>
        </w:rPr>
      </w:r>
      <w:r w:rsidR="00704094">
        <w:rPr>
          <w:noProof/>
          <w:sz w:val="20"/>
          <w:lang w:val="de-DE"/>
        </w:rPr>
        <w:pict w14:anchorId="69E4E8BB"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alt="" style="position:absolute;margin-left:347.25pt;margin-top:14.3pt;width:424pt;height:44.45pt;z-index:251658240;mso-wrap-style:square;mso-wrap-edited:f;mso-width-percent:0;mso-height-percent:0;mso-width-percent:0;mso-height-percent:0;v-text-anchor:top" filled="f" stroked="f">
            <v:textbox>
              <w:txbxContent>
                <w:p w14:paraId="7A5574FA" w14:textId="77777777" w:rsidR="00AF57CA" w:rsidRPr="00B029F3" w:rsidRDefault="00AF57CA">
                  <w:pPr>
                    <w:rPr>
                      <w:rFonts w:ascii="Arial" w:hAnsi="Arial" w:cs="Arial"/>
                      <w:szCs w:val="24"/>
                    </w:rPr>
                  </w:pPr>
                  <w:r w:rsidRPr="00B029F3">
                    <w:rPr>
                      <w:rFonts w:ascii="Arial" w:hAnsi="Arial" w:cs="Arial"/>
                      <w:szCs w:val="24"/>
                    </w:rPr>
                    <w:t>Lesen die vier bzw. fünf Positionen von Forscherinnen über die Frauen im Dritten Reich! Setzen Sie einen Titel. Wie hat sich die Forschung entwickelt?</w:t>
                  </w:r>
                </w:p>
              </w:txbxContent>
            </v:textbox>
          </v:shape>
        </w:pict>
      </w:r>
      <w:r w:rsidR="00AF57CA" w:rsidRPr="008B1A54">
        <w:rPr>
          <w:rFonts w:ascii="Arial" w:hAnsi="Arial" w:cs="Arial"/>
          <w:sz w:val="24"/>
          <w:szCs w:val="24"/>
        </w:rPr>
        <w:t>Frauen im Nationalsozialismus</w:t>
      </w:r>
      <w:r w:rsidR="008B1A54">
        <w:rPr>
          <w:rFonts w:ascii="Arial" w:hAnsi="Arial" w:cs="Arial"/>
          <w:sz w:val="24"/>
          <w:szCs w:val="24"/>
        </w:rPr>
        <w:t>, Forschungspositionen</w:t>
      </w:r>
    </w:p>
    <w:p w14:paraId="579AC3C5" w14:textId="77777777" w:rsidR="00AF57CA" w:rsidRPr="008B1A54" w:rsidRDefault="00AF57CA" w:rsidP="008B1A54">
      <w:pPr>
        <w:rPr>
          <w:rFonts w:ascii="Arial" w:hAnsi="Arial" w:cs="Arial"/>
          <w:b/>
          <w:bCs/>
          <w:szCs w:val="24"/>
        </w:rPr>
      </w:pPr>
    </w:p>
    <w:p w14:paraId="67553C06" w14:textId="77777777" w:rsidR="00AF57CA" w:rsidRPr="008B1A54" w:rsidRDefault="00704094" w:rsidP="008B1A54">
      <w:pPr>
        <w:rPr>
          <w:rFonts w:ascii="Arial" w:hAnsi="Arial" w:cs="Arial"/>
          <w:szCs w:val="24"/>
        </w:rPr>
      </w:pPr>
      <w:r>
        <w:rPr>
          <w:b/>
          <w:bCs/>
          <w:noProof/>
          <w:sz w:val="20"/>
          <w:lang w:val="de-DE"/>
        </w:rPr>
      </w:r>
      <w:r w:rsidR="00704094">
        <w:rPr>
          <w:b/>
          <w:bCs/>
          <w:noProof/>
          <w:sz w:val="20"/>
          <w:lang w:val="de-DE"/>
        </w:rPr>
        <w:pict w14:anchorId="4772D957">
          <v:line id="_x0000_s1062" alt="" style="position:absolute;z-index:251657216;mso-wrap-edited:f;mso-width-percent:0;mso-height-percent:0;mso-width-percent:0;mso-height-percent:0" from="18.7pt,.85pt" to="729.3pt,58pt" strokecolor="gray" strokeweight="6pt">
            <v:stroke endarrow="block"/>
          </v:line>
        </w:pict>
      </w:r>
    </w:p>
    <w:p w14:paraId="4BECA738" w14:textId="77777777" w:rsidR="00AF57CA" w:rsidRPr="008B1A54" w:rsidRDefault="00704094" w:rsidP="008B1A54">
      <w:pPr>
        <w:rPr>
          <w:rFonts w:ascii="Arial" w:hAnsi="Arial" w:cs="Arial"/>
          <w:b/>
          <w:bCs/>
          <w:szCs w:val="24"/>
        </w:rPr>
      </w:pPr>
      <w:r>
        <w:rPr>
          <w:b/>
          <w:bCs/>
          <w:noProof/>
          <w:sz w:val="20"/>
          <w:lang w:val="de-DE"/>
        </w:rPr>
      </w:r>
      <w:r w:rsidR="00704094">
        <w:rPr>
          <w:b/>
          <w:bCs/>
          <w:noProof/>
          <w:sz w:val="20"/>
          <w:lang w:val="de-DE"/>
        </w:rPr>
        <w:pict w14:anchorId="1764AA66">
          <v:shape id="_x0000_s1061" type="#_x0000_t202" alt="" style="position:absolute;margin-left:118.35pt;margin-top:12.25pt;width:142.65pt;height:375.55pt;z-index:251653120;mso-wrap-style:square;mso-wrap-edited:f;mso-width-percent:0;mso-height-percent:0;mso-width-percent:0;mso-height-percent:0;v-text-anchor:top">
            <v:textbox style="mso-next-textbox:#_x0000_s1061">
              <w:txbxContent>
                <w:p w14:paraId="2B419610" w14:textId="77777777" w:rsidR="00AF57CA" w:rsidRPr="008B1A54" w:rsidRDefault="00AF57CA">
                  <w:pPr>
                    <w:pStyle w:val="berschrift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.......................................</w:t>
                  </w:r>
                </w:p>
                <w:p w14:paraId="0E26A202" w14:textId="77777777" w:rsidR="00AF57CA" w:rsidRPr="008B1A54" w:rsidRDefault="00AF57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B21D10F" w14:textId="77777777" w:rsidR="00AF57CA" w:rsidRPr="008B1A54" w:rsidRDefault="00AF57C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«Nach meiner Auffassung gibt es einen ‹männl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i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chen› und einen ‹weibl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i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chen› Antisemiti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mus. Der Ant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i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semitismus der Fra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u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en entwickelt sich eher über die Anpassung an männl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i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che Vorurteile. als dass er sich aus der g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e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schlechtsspezifischen Entwicklung und Erzi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e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hung ergibt.»</w:t>
                  </w:r>
                </w:p>
                <w:p w14:paraId="5B5E1E57" w14:textId="77777777" w:rsidR="00AF57CA" w:rsidRPr="008B1A54" w:rsidRDefault="00AF57C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«Frauen neigen natürlich, wie alle Schwachen und Unterdrückten einer G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e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sellschaft dazu, sich mit dem Aggressor zu ident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i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fizieren. – Diese Neigung, sich anzupa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sen, hängt wiederum mit ihrer gro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sen Angst vor Liebesve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lust zusa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m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men.»</w:t>
                  </w:r>
                </w:p>
                <w:p w14:paraId="44BECD0B" w14:textId="77777777" w:rsidR="00AF57CA" w:rsidRPr="008B1A54" w:rsidRDefault="00AF57CA">
                  <w:pPr>
                    <w:pStyle w:val="Textkrper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(Mitscherlich Margarete, 1985. 160, 157, 156)</w:t>
                  </w:r>
                </w:p>
              </w:txbxContent>
            </v:textbox>
            <w10:wrap type="square"/>
          </v:shape>
        </w:pict>
      </w:r>
      <w:r>
        <w:rPr>
          <w:b/>
          <w:bCs/>
          <w:noProof/>
          <w:sz w:val="20"/>
          <w:lang w:val="de-DE"/>
        </w:rPr>
      </w:r>
      <w:r w:rsidR="00704094">
        <w:rPr>
          <w:b/>
          <w:bCs/>
          <w:noProof/>
          <w:sz w:val="20"/>
          <w:lang w:val="de-DE"/>
        </w:rPr>
        <w:pict w14:anchorId="201A0646">
          <v:shape id="_x0000_s1060" type="#_x0000_t202" alt="" style="position:absolute;margin-left:0;margin-top:2.7pt;width:112.2pt;height:261.25pt;z-index:251652096;mso-wrap-style:square;mso-wrap-edited:f;mso-width-percent:0;mso-height-percent:0;mso-width-percent:0;mso-height-percent:0;v-text-anchor:top">
            <v:textbox style="mso-next-textbox:#_x0000_s1060">
              <w:txbxContent>
                <w:p w14:paraId="5D9BBC22" w14:textId="77777777" w:rsidR="00AF57CA" w:rsidRPr="008B1A54" w:rsidRDefault="00AF57CA">
                  <w:pPr>
                    <w:pStyle w:val="berschrift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.............................</w:t>
                  </w:r>
                </w:p>
                <w:p w14:paraId="3A8D448F" w14:textId="77777777" w:rsidR="00AF57CA" w:rsidRPr="008B1A54" w:rsidRDefault="00AF57C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«Diese terrorist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i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sche Ko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m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ponente der faschistischen Politik traf in b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e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sonderer Weise die Frauen. Gerade das Haus und die Fam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i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lie, die Domänen der Frauen, wurden von der terrorist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i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schen Politik des Regimes in beso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 xml:space="preserve">ders hohem Masse betroffen.» </w:t>
                  </w:r>
                </w:p>
                <w:p w14:paraId="588C047B" w14:textId="77777777" w:rsidR="00AF57CA" w:rsidRPr="008B1A54" w:rsidRDefault="00AF57CA">
                  <w:pPr>
                    <w:pStyle w:val="Textkrper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(Kuhn Annette, Rothe Valent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i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ne, 1982. 138)</w:t>
                  </w:r>
                </w:p>
              </w:txbxContent>
            </v:textbox>
            <w10:wrap type="square"/>
          </v:shape>
        </w:pict>
      </w:r>
    </w:p>
    <w:p w14:paraId="50D7DE8B" w14:textId="77777777" w:rsidR="00AF57CA" w:rsidRPr="008B1A54" w:rsidRDefault="00AF57CA" w:rsidP="008B1A54">
      <w:pPr>
        <w:rPr>
          <w:rFonts w:ascii="Arial" w:hAnsi="Arial" w:cs="Arial"/>
          <w:b/>
          <w:bCs/>
          <w:szCs w:val="24"/>
        </w:rPr>
      </w:pPr>
    </w:p>
    <w:p w14:paraId="0481541D" w14:textId="77777777" w:rsidR="00AF57CA" w:rsidRPr="008B1A54" w:rsidRDefault="00AF57CA" w:rsidP="008B1A54">
      <w:pPr>
        <w:rPr>
          <w:rFonts w:ascii="Arial" w:hAnsi="Arial" w:cs="Arial"/>
          <w:b/>
          <w:bCs/>
          <w:szCs w:val="24"/>
        </w:rPr>
      </w:pPr>
    </w:p>
    <w:p w14:paraId="7084994D" w14:textId="77777777" w:rsidR="00AF57CA" w:rsidRPr="008B1A54" w:rsidRDefault="00704094" w:rsidP="008B1A54">
      <w:pPr>
        <w:rPr>
          <w:rFonts w:ascii="Arial" w:hAnsi="Arial" w:cs="Arial"/>
          <w:b/>
          <w:bCs/>
          <w:szCs w:val="24"/>
        </w:rPr>
      </w:pPr>
      <w:r>
        <w:rPr>
          <w:b/>
          <w:bCs/>
          <w:noProof/>
          <w:sz w:val="20"/>
          <w:lang w:val="de-DE"/>
        </w:rPr>
      </w:r>
      <w:r w:rsidR="00704094">
        <w:rPr>
          <w:b/>
          <w:bCs/>
          <w:noProof/>
          <w:sz w:val="20"/>
          <w:lang w:val="de-DE"/>
        </w:rPr>
        <w:pict w14:anchorId="48483F93">
          <v:shape id="_x0000_s1059" type="#_x0000_t202" alt="" style="position:absolute;margin-left:201.1pt;margin-top:6.4pt;width:299.2pt;height:379pt;z-index:251655168;mso-wrap-style:square;mso-wrap-edited:f;mso-width-percent:0;mso-height-percent:0;mso-width-percent:0;mso-height-percent:0;v-text-anchor:top">
            <v:textbox>
              <w:txbxContent>
                <w:p w14:paraId="7A3F5BCA" w14:textId="77777777" w:rsidR="00AF57CA" w:rsidRPr="008B1A54" w:rsidRDefault="00AF57CA">
                  <w:pPr>
                    <w:pStyle w:val="berschrift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................................................................................</w:t>
                  </w:r>
                </w:p>
                <w:tbl>
                  <w:tblPr>
                    <w:tblW w:w="0" w:type="auto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62"/>
                    <w:gridCol w:w="187"/>
                    <w:gridCol w:w="2587"/>
                  </w:tblGrid>
                  <w:tr w:rsidR="00AF57CA" w:rsidRPr="008B1A54" w14:paraId="7FA8F1C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062" w:type="dxa"/>
                      </w:tcPr>
                      <w:p w14:paraId="6BB14E10" w14:textId="77777777" w:rsidR="00AF57CA" w:rsidRPr="008B1A54" w:rsidRDefault="00AF57CA">
                        <w:pPr>
                          <w:pStyle w:val="berschrift4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................................</w:t>
                        </w:r>
                      </w:p>
                      <w:p w14:paraId="0C0CBB6B" w14:textId="77777777" w:rsidR="00AF57CA" w:rsidRPr="008B1A54" w:rsidRDefault="00AF57CA">
                        <w:pPr>
                          <w:pStyle w:val="Textkrper3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«Die [...] Bete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ligung der nicht-verfolgten Frauen am NS-Staat lässt sich nicht mit dem Mass in ihrer realen polit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schen Macht messen. Ihre massenhafte Begeist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rung [...], dass die meisten Frauen sich selbst und das, was ihnen wertvoll war, durch das R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gime und seine Ideologie nicht unterdrückt fühlten. And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renfalls wäre zwar ihr Stillha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l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ten, nicht aber eine derartig bre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 Begeisterung und Unte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stützung denkbar gewesen. Tause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de jubelnder Frauen [...] auf den Plätzen und an den Strassenrä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dern, wenn Hitler oder Goebbels erwartet wurden – kö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nen wir angesichts solcher Bilder di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se Frauen in erster Linie als Opfer patriarchaler Unterdr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ü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ckung s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hen?»</w:t>
                        </w:r>
                      </w:p>
                      <w:p w14:paraId="5F7EB83C" w14:textId="77777777" w:rsidR="00AF57CA" w:rsidRPr="008B1A54" w:rsidRDefault="00AF57CA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(Lauterbach Hanna, 1990. 143)</w:t>
                        </w:r>
                      </w:p>
                    </w:tc>
                    <w:tc>
                      <w:tcPr>
                        <w:tcW w:w="187" w:type="dxa"/>
                      </w:tcPr>
                      <w:p w14:paraId="1B6EB0C3" w14:textId="77777777" w:rsidR="00AF57CA" w:rsidRPr="008B1A54" w:rsidRDefault="00AF57CA">
                        <w:pPr>
                          <w:pStyle w:val="berschrift4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587" w:type="dxa"/>
                      </w:tcPr>
                      <w:p w14:paraId="007FEFF3" w14:textId="77777777" w:rsidR="00AF57CA" w:rsidRPr="008B1A54" w:rsidRDefault="00AF57CA">
                        <w:pPr>
                          <w:pStyle w:val="berschrift4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.............................</w:t>
                        </w:r>
                      </w:p>
                      <w:p w14:paraId="4724FF37" w14:textId="77777777" w:rsidR="00AF57CA" w:rsidRPr="008B1A54" w:rsidRDefault="00AF57CA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«Den Ruhm für spekt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kuläre Taten konnten z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meist Männer für sich verbuchen, während Frauen dafür sor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g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ten, dass die Grundl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ge jeder Wide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standstätigkeit </w:t>
                        </w:r>
                        <w:proofErr w:type="gramStart"/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klappte</w:t>
                        </w:r>
                        <w:proofErr w:type="gramEnd"/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, indem sie die materiellen, organisator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schen und – in nicht w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nigen Fä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l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len – durch die gefühlsmässige Antei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l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nahme auch die psych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schen Vo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r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aussetzungen sch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</w:t>
                        </w: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fen.» </w:t>
                        </w:r>
                      </w:p>
                      <w:p w14:paraId="715FB4D3" w14:textId="77777777" w:rsidR="00AF57CA" w:rsidRPr="008B1A54" w:rsidRDefault="00AF57CA">
                        <w:pPr>
                          <w:jc w:val="both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8B1A5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(Berger Karin u. a., 1985. 250)</w:t>
                        </w:r>
                      </w:p>
                    </w:tc>
                  </w:tr>
                </w:tbl>
                <w:p w14:paraId="0F4FFACC" w14:textId="77777777" w:rsidR="00AF57CA" w:rsidRPr="008B1A54" w:rsidRDefault="008B1A5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z</w:t>
                  </w:r>
                </w:p>
              </w:txbxContent>
            </v:textbox>
            <w10:wrap type="square"/>
          </v:shape>
        </w:pict>
      </w:r>
      <w:r>
        <w:rPr>
          <w:b/>
          <w:bCs/>
          <w:noProof/>
          <w:sz w:val="20"/>
          <w:lang w:val="de-DE"/>
        </w:rPr>
      </w:r>
      <w:r w:rsidR="00704094">
        <w:rPr>
          <w:b/>
          <w:bCs/>
          <w:noProof/>
          <w:sz w:val="20"/>
          <w:lang w:val="de-DE"/>
        </w:rPr>
        <w:pict w14:anchorId="3C5E9074">
          <v:shape id="_x0000_s1058" type="#_x0000_t202" alt="" style="position:absolute;margin-left:-.7pt;margin-top:5.95pt;width:196.35pt;height:343.55pt;z-index:251654144;mso-wrap-style:square;mso-wrap-edited:f;mso-width-percent:0;mso-height-percent:0;mso-width-percent:0;mso-height-percent:0;v-text-anchor:top">
            <v:textbox style="mso-next-textbox:#_x0000_s1058">
              <w:txbxContent>
                <w:p w14:paraId="7B883D68" w14:textId="77777777" w:rsidR="00AF57CA" w:rsidRPr="008B1A54" w:rsidRDefault="00AF57CA">
                  <w:pPr>
                    <w:pStyle w:val="berschrift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....................................................</w:t>
                  </w:r>
                </w:p>
                <w:p w14:paraId="34A8AA74" w14:textId="77777777" w:rsidR="00AF57CA" w:rsidRPr="008B1A54" w:rsidRDefault="00AF57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59FFEBB" w14:textId="77777777" w:rsidR="00AF57CA" w:rsidRPr="008B1A54" w:rsidRDefault="00AF57C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«Unter dem Eindruck der Verhe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e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rungen der beiden Weltkriege dieses Jahrhunderts wurde der Zerfallsz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u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stand dieser Zivilisation immer dra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tischer bloßgelegt. [...]Wir waren hier zum Glück nicht gemeint. [...]  Wir sind zu Mittäterinnen geworden, wenn wir uns den Ergänzungsideen gefügt, nämlich komplementär zum »männlichen« ein »weibliches« b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e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schränktes Verhaltensrepertoire en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t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wickelt und praktiziert haben; ein Gegengewicht; wenn Frauen sich dem Mann hinzuaddieren als das untergeordnete andere Geschlecht; wenn Frauen das männliche Indiv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i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duum stützen und abschirmen, indem sie ihre Ressorts – speziell die des Hauses, des «sozialen Gedankens» und der Menschlichkeit – so strukt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u</w:t>
                  </w: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rieren, dass der Mann für seine Taten freigesetzt wird.»</w:t>
                  </w:r>
                </w:p>
                <w:p w14:paraId="25FC1690" w14:textId="77777777" w:rsidR="00AF57CA" w:rsidRPr="008B1A54" w:rsidRDefault="00AF57CA">
                  <w:pPr>
                    <w:pStyle w:val="Textkrper2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B1A54">
                    <w:rPr>
                      <w:rFonts w:ascii="Arial" w:hAnsi="Arial" w:cs="Arial"/>
                      <w:sz w:val="22"/>
                      <w:szCs w:val="22"/>
                    </w:rPr>
                    <w:t>Thürmer-Rohr Christina, 1987. 38, 41f.</w:t>
                  </w:r>
                </w:p>
              </w:txbxContent>
            </v:textbox>
            <w10:wrap type="square"/>
          </v:shape>
        </w:pict>
      </w:r>
      <w:r>
        <w:rPr>
          <w:b/>
          <w:bCs/>
          <w:noProof/>
          <w:sz w:val="20"/>
          <w:lang w:val="de-DE"/>
        </w:rPr>
      </w:r>
      <w:r w:rsidR="00704094">
        <w:rPr>
          <w:b/>
          <w:bCs/>
          <w:noProof/>
          <w:sz w:val="20"/>
          <w:lang w:val="de-DE"/>
        </w:rPr>
        <w:pict w14:anchorId="19A9E069">
          <v:line id="_x0000_s1057" alt="" style="position:absolute;z-index:251656192;mso-wrap-edited:f;mso-width-percent:0;mso-height-percent:0;mso-width-percent:0;mso-height-percent:0" from="-251.3pt,353.8pt" to="459.3pt,410.95pt" strokecolor="gray" strokeweight="6pt">
            <v:stroke endarrow="block"/>
          </v:line>
        </w:pict>
      </w:r>
      <w:r w:rsidR="00AF57CA" w:rsidRPr="008B1A54">
        <w:rPr>
          <w:rFonts w:ascii="Arial" w:hAnsi="Arial" w:cs="Arial"/>
          <w:b/>
          <w:bCs/>
          <w:szCs w:val="24"/>
        </w:rPr>
        <w:br w:type="page"/>
      </w:r>
      <w:r>
        <w:rPr>
          <w:noProof/>
        </w:rPr>
        <w:lastRenderedPageBreak/>
      </w:r>
      <w:r w:rsidR="00704094">
        <w:rPr>
          <w:noProof/>
        </w:rPr>
        <w:pict w14:anchorId="3D224965">
          <v:shape id="Text Box 10" o:spid="_x0000_s1031" type="#_x0000_t202" style="position:absolute;margin-left:784.2pt;margin-top:-.8pt;width:3.6pt;height:49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" fillcolor="silver" stroked="f">
            <o:lock v:ext="edit" aspectratio="t" verticies="t" text="t" shapetype="t"/>
            <v:textbox>
              <w:txbxContent>
                <w:p w14:paraId="302B20A3" w14:textId="77777777" w:rsidR="008B1A54" w:rsidRDefault="008B1A54" w:rsidP="008B1A54"/>
              </w:txbxContent>
            </v:textbox>
          </v:shape>
        </w:pict>
      </w:r>
    </w:p>
    <w:p w14:paraId="29FA04BA" w14:textId="77777777" w:rsidR="00AF57CA" w:rsidRPr="00B029F3" w:rsidRDefault="00AF57CA" w:rsidP="008B1A54">
      <w:pPr>
        <w:pStyle w:val="berschrift40"/>
        <w:rPr>
          <w:rFonts w:ascii="Arial" w:hAnsi="Arial" w:cs="Arial"/>
          <w:sz w:val="32"/>
          <w:szCs w:val="32"/>
        </w:rPr>
      </w:pPr>
      <w:r w:rsidRPr="00B029F3">
        <w:rPr>
          <w:rFonts w:ascii="Arial" w:hAnsi="Arial" w:cs="Arial"/>
          <w:sz w:val="32"/>
          <w:szCs w:val="32"/>
        </w:rPr>
        <w:t>Mögliche Ergebnisse</w:t>
      </w:r>
    </w:p>
    <w:p w14:paraId="779420D1" w14:textId="77777777" w:rsidR="00AF57CA" w:rsidRPr="008B1A54" w:rsidRDefault="00AF57CA" w:rsidP="008B1A54">
      <w:pPr>
        <w:rPr>
          <w:rFonts w:ascii="Arial" w:hAnsi="Arial" w:cs="Arial"/>
          <w:szCs w:val="24"/>
        </w:rPr>
      </w:pPr>
    </w:p>
    <w:p w14:paraId="08BBFC8C" w14:textId="77777777" w:rsidR="00AF57CA" w:rsidRPr="008B1A54" w:rsidRDefault="00AF57CA" w:rsidP="008B1A54">
      <w:pPr>
        <w:rPr>
          <w:rFonts w:ascii="Arial" w:hAnsi="Arial" w:cs="Arial"/>
          <w:szCs w:val="24"/>
        </w:rPr>
      </w:pPr>
      <w:r w:rsidRPr="008B1A54">
        <w:rPr>
          <w:rFonts w:ascii="Arial" w:hAnsi="Arial" w:cs="Arial"/>
          <w:szCs w:val="24"/>
        </w:rPr>
        <w:t>Dass Frauen im patriarchalen System des Nationalsozialismus a priori zu den Opfern gehörten,</w:t>
      </w:r>
      <w:r w:rsidRPr="008B1A54">
        <w:rPr>
          <w:rStyle w:val="Funotenzeichen"/>
          <w:rFonts w:ascii="Arial" w:hAnsi="Arial" w:cs="Arial"/>
          <w:szCs w:val="24"/>
        </w:rPr>
        <w:footnoteReference w:id="1"/>
      </w:r>
      <w:r w:rsidRPr="008B1A54">
        <w:rPr>
          <w:rFonts w:ascii="Arial" w:hAnsi="Arial" w:cs="Arial"/>
          <w:szCs w:val="24"/>
        </w:rPr>
        <w:t xml:space="preserve"> galt anfangs der achtziger Jahre als ausgemacht. Indem sie an di</w:t>
      </w:r>
      <w:r w:rsidRPr="008B1A54">
        <w:rPr>
          <w:rFonts w:ascii="Arial" w:hAnsi="Arial" w:cs="Arial"/>
          <w:szCs w:val="24"/>
        </w:rPr>
        <w:t>e</w:t>
      </w:r>
      <w:r w:rsidRPr="008B1A54">
        <w:rPr>
          <w:rFonts w:ascii="Arial" w:hAnsi="Arial" w:cs="Arial"/>
          <w:szCs w:val="24"/>
        </w:rPr>
        <w:t>sem Rückschritt der menschlichen Kultur nicht beteiligt waren, konnten sich Frauenforscherinnen bestätigen, dass einseitig das Patriarchat in die Sackgasse g</w:t>
      </w:r>
      <w:r w:rsidRPr="008B1A54">
        <w:rPr>
          <w:rFonts w:ascii="Arial" w:hAnsi="Arial" w:cs="Arial"/>
          <w:szCs w:val="24"/>
        </w:rPr>
        <w:t>e</w:t>
      </w:r>
      <w:r w:rsidRPr="008B1A54">
        <w:rPr>
          <w:rFonts w:ascii="Arial" w:hAnsi="Arial" w:cs="Arial"/>
          <w:szCs w:val="24"/>
        </w:rPr>
        <w:t xml:space="preserve">führt hat. Doch mit der fortschreitenden Forschung wurde der grosse Handlungsspielraum nicht der einzelnen Frauen, aber der Frauen als Ganzes ausgelotet; es zeigte sich, dass Frauen nicht nur Opfer waren. Dabei, das zeigt auch das Datum der letzten Quelle, verlief die Forschung nicht so linear, wie es hier vereinfacht dargestellt wird.  </w:t>
      </w:r>
    </w:p>
    <w:p w14:paraId="2ED43BD6" w14:textId="77777777" w:rsidR="00AF57CA" w:rsidRPr="008B1A54" w:rsidRDefault="00AF57CA" w:rsidP="008B1A54">
      <w:pPr>
        <w:rPr>
          <w:rFonts w:ascii="Arial" w:hAnsi="Arial" w:cs="Arial"/>
          <w:b/>
          <w:bCs/>
          <w:szCs w:val="24"/>
        </w:rPr>
      </w:pPr>
      <w:r w:rsidRPr="008B1A54">
        <w:rPr>
          <w:rFonts w:ascii="Arial" w:hAnsi="Arial" w:cs="Arial"/>
          <w:szCs w:val="24"/>
        </w:rPr>
        <w:t xml:space="preserve">  </w:t>
      </w:r>
    </w:p>
    <w:p w14:paraId="1F084454" w14:textId="77777777" w:rsidR="00AF57CA" w:rsidRPr="008B1A54" w:rsidRDefault="00704094" w:rsidP="008B1A54">
      <w:pPr>
        <w:rPr>
          <w:rFonts w:ascii="Arial" w:hAnsi="Arial" w:cs="Arial"/>
          <w:b/>
          <w:bCs/>
          <w:szCs w:val="24"/>
        </w:rPr>
      </w:pPr>
      <w:r>
        <w:rPr>
          <w:b/>
          <w:bCs/>
          <w:noProof/>
          <w:sz w:val="20"/>
          <w:lang w:val="de-DE"/>
        </w:rPr>
      </w:r>
      <w:r w:rsidR="00704094">
        <w:rPr>
          <w:b/>
          <w:bCs/>
          <w:noProof/>
          <w:sz w:val="20"/>
          <w:lang w:val="de-DE"/>
        </w:rPr>
        <w:pict w14:anchorId="1FC70EA6">
          <v:shape id="_x0000_s1056" type="#_x0000_t202" alt="" style="position:absolute;margin-left:3.75pt;margin-top:4.1pt;width:112.2pt;height:27.95pt;z-index:251659264;mso-wrap-style:square;mso-wrap-edited:f;mso-width-percent:0;mso-height-percent:0;mso-width-percent:0;mso-height-percent:0;v-text-anchor:top">
            <v:textbox style="mso-next-textbox:#_x0000_s1056">
              <w:txbxContent>
                <w:p w14:paraId="6B956B87" w14:textId="77777777" w:rsidR="00AF57CA" w:rsidRDefault="00AF57CA">
                  <w:pPr>
                    <w:pStyle w:val="berschrift40"/>
                  </w:pPr>
                  <w:r>
                    <w:t>Frauen als Opfer</w:t>
                  </w:r>
                </w:p>
                <w:p w14:paraId="5E4B0F4E" w14:textId="77777777" w:rsidR="00AF57CA" w:rsidRDefault="00AF57CA">
                  <w:pPr>
                    <w:pStyle w:val="Textkrper2"/>
                  </w:pPr>
                </w:p>
              </w:txbxContent>
            </v:textbox>
            <w10:wrap type="square"/>
          </v:shape>
        </w:pict>
      </w:r>
    </w:p>
    <w:p w14:paraId="1B321E37" w14:textId="77777777" w:rsidR="00AF57CA" w:rsidRPr="008B1A54" w:rsidRDefault="00704094" w:rsidP="008B1A54">
      <w:pPr>
        <w:rPr>
          <w:rFonts w:ascii="Arial" w:hAnsi="Arial" w:cs="Arial"/>
          <w:b/>
          <w:bCs/>
          <w:szCs w:val="24"/>
        </w:rPr>
      </w:pPr>
      <w:r>
        <w:rPr>
          <w:b/>
          <w:bCs/>
          <w:noProof/>
          <w:sz w:val="20"/>
          <w:lang w:val="de-DE"/>
        </w:rPr>
      </w:r>
      <w:r w:rsidR="00704094">
        <w:rPr>
          <w:b/>
          <w:bCs/>
          <w:noProof/>
          <w:sz w:val="20"/>
          <w:lang w:val="de-DE"/>
        </w:rPr>
        <w:pict w14:anchorId="67C45DFF">
          <v:shape id="_x0000_s1055" type="#_x0000_t202" alt="" style="position:absolute;margin-left:-2.85pt;margin-top:-.15pt;width:142.65pt;height:43.8pt;z-index:251660288;mso-wrap-style:square;mso-wrap-edited:f;mso-width-percent:0;mso-height-percent:0;mso-width-percent:0;mso-height-percent:0;v-text-anchor:top">
            <v:textbox style="mso-next-textbox:#_x0000_s1055">
              <w:txbxContent>
                <w:p w14:paraId="3D08272C" w14:textId="77777777" w:rsidR="00AF57CA" w:rsidRDefault="00AF57CA">
                  <w:pPr>
                    <w:pStyle w:val="berschrift40"/>
                  </w:pPr>
                  <w:r>
                    <w:t>Frauen als Gefolge der Mä</w:t>
                  </w:r>
                  <w:r>
                    <w:t>n</w:t>
                  </w:r>
                  <w:r>
                    <w:t>ner</w:t>
                  </w:r>
                </w:p>
                <w:p w14:paraId="7CD3A31D" w14:textId="77777777" w:rsidR="00AF57CA" w:rsidRDefault="00AF57CA"/>
                <w:p w14:paraId="5E259CEC" w14:textId="77777777" w:rsidR="00AF57CA" w:rsidRDefault="00AF57CA">
                  <w:pPr>
                    <w:pStyle w:val="Textkrper2"/>
                  </w:pPr>
                </w:p>
              </w:txbxContent>
            </v:textbox>
            <w10:wrap type="square"/>
          </v:shape>
        </w:pict>
      </w:r>
    </w:p>
    <w:p w14:paraId="6CBDD355" w14:textId="77777777" w:rsidR="00AF57CA" w:rsidRPr="008B1A54" w:rsidRDefault="00AF57CA" w:rsidP="008B1A54">
      <w:pPr>
        <w:rPr>
          <w:rFonts w:ascii="Arial" w:hAnsi="Arial" w:cs="Arial"/>
          <w:b/>
          <w:bCs/>
          <w:szCs w:val="24"/>
        </w:rPr>
      </w:pPr>
    </w:p>
    <w:p w14:paraId="49615C4A" w14:textId="77777777" w:rsidR="00AF57CA" w:rsidRPr="008B1A54" w:rsidRDefault="00704094" w:rsidP="008B1A54">
      <w:pPr>
        <w:rPr>
          <w:rFonts w:ascii="Arial" w:hAnsi="Arial" w:cs="Arial"/>
          <w:b/>
          <w:bCs/>
          <w:szCs w:val="24"/>
        </w:rPr>
      </w:pPr>
      <w:r>
        <w:rPr>
          <w:b/>
          <w:bCs/>
          <w:noProof/>
          <w:sz w:val="20"/>
          <w:lang w:val="de-DE"/>
        </w:rPr>
      </w:r>
      <w:r w:rsidR="00704094">
        <w:rPr>
          <w:b/>
          <w:bCs/>
          <w:noProof/>
          <w:sz w:val="20"/>
          <w:lang w:val="de-DE"/>
        </w:rPr>
        <w:pict w14:anchorId="694BC7AD">
          <v:shape id="_x0000_s1054" type="#_x0000_t202" alt="" style="position:absolute;margin-left:476.85pt;margin-top:9.7pt;width:299.2pt;height:63.5pt;z-index:251662336;mso-wrap-style:square;mso-wrap-edited:f;mso-width-percent:0;mso-height-percent:0;mso-width-percent:0;mso-height-percent:0;v-text-anchor:top">
            <v:textbox>
              <w:txbxContent>
                <w:p w14:paraId="3BDF9DE5" w14:textId="77777777" w:rsidR="00AF57CA" w:rsidRDefault="00AF57CA">
                  <w:pPr>
                    <w:pStyle w:val="berschrift40"/>
                  </w:pPr>
                  <w:r>
                    <w:t>Frauen mit ihrem breiten Handlungsspielraum</w:t>
                  </w:r>
                </w:p>
                <w:tbl>
                  <w:tblPr>
                    <w:tblW w:w="0" w:type="auto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62"/>
                    <w:gridCol w:w="187"/>
                    <w:gridCol w:w="2587"/>
                  </w:tblGrid>
                  <w:tr w:rsidR="00AF57CA" w14:paraId="3B944BA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062" w:type="dxa"/>
                      </w:tcPr>
                      <w:p w14:paraId="0CB93FDF" w14:textId="77777777" w:rsidR="00AF57CA" w:rsidRDefault="00AF57CA">
                        <w:pPr>
                          <w:pStyle w:val="berschrift40"/>
                        </w:pPr>
                        <w:r>
                          <w:t xml:space="preserve">Anpassung </w:t>
                        </w:r>
                      </w:p>
                      <w:p w14:paraId="39D41425" w14:textId="77777777" w:rsidR="00AF57CA" w:rsidRDefault="00AF57CA">
                        <w:pPr>
                          <w:jc w:val="both"/>
                        </w:pPr>
                      </w:p>
                    </w:tc>
                    <w:tc>
                      <w:tcPr>
                        <w:tcW w:w="187" w:type="dxa"/>
                      </w:tcPr>
                      <w:p w14:paraId="1815A9E2" w14:textId="77777777" w:rsidR="00AF57CA" w:rsidRDefault="00AF57CA">
                        <w:pPr>
                          <w:pStyle w:val="berschrift40"/>
                        </w:pPr>
                      </w:p>
                    </w:tc>
                    <w:tc>
                      <w:tcPr>
                        <w:tcW w:w="2587" w:type="dxa"/>
                      </w:tcPr>
                      <w:p w14:paraId="1222FFCC" w14:textId="77777777" w:rsidR="00AF57CA" w:rsidRDefault="00AF57CA">
                        <w:pPr>
                          <w:pStyle w:val="berschrift40"/>
                        </w:pPr>
                        <w:r>
                          <w:t>Widerstand</w:t>
                        </w:r>
                      </w:p>
                      <w:p w14:paraId="63BBED87" w14:textId="77777777" w:rsidR="00AF57CA" w:rsidRDefault="00AF57CA">
                        <w:pPr>
                          <w:jc w:val="both"/>
                        </w:pPr>
                      </w:p>
                    </w:tc>
                  </w:tr>
                </w:tbl>
                <w:p w14:paraId="4326356E" w14:textId="77777777" w:rsidR="00AF57CA" w:rsidRDefault="00AF57CA"/>
              </w:txbxContent>
            </v:textbox>
            <w10:wrap type="square"/>
          </v:shape>
        </w:pict>
      </w:r>
      <w:r>
        <w:rPr>
          <w:b/>
          <w:bCs/>
          <w:noProof/>
          <w:sz w:val="20"/>
          <w:lang w:val="de-DE"/>
        </w:rPr>
      </w:r>
      <w:r w:rsidR="00704094">
        <w:rPr>
          <w:b/>
          <w:bCs/>
          <w:noProof/>
          <w:sz w:val="20"/>
          <w:lang w:val="de-DE"/>
        </w:rPr>
        <w:pict w14:anchorId="52F9C85D">
          <v:shape id="_x0000_s1053" type="#_x0000_t202" alt="" style="position:absolute;margin-left:271.15pt;margin-top:3.35pt;width:196.35pt;height:38.1pt;z-index:251661312;mso-wrap-style:square;mso-wrap-edited:f;mso-width-percent:0;mso-height-percent:0;mso-width-percent:0;mso-height-percent:0;v-text-anchor:top">
            <v:textbox style="mso-next-textbox:#_x0000_s1053">
              <w:txbxContent>
                <w:p w14:paraId="4A891183" w14:textId="77777777" w:rsidR="00AF57CA" w:rsidRDefault="00AF57CA">
                  <w:pPr>
                    <w:pStyle w:val="berschrift40"/>
                  </w:pPr>
                  <w:r>
                    <w:t>Frauen als Mit-Täterinnen</w:t>
                  </w:r>
                </w:p>
                <w:p w14:paraId="0771AFB3" w14:textId="77777777" w:rsidR="00AF57CA" w:rsidRDefault="00AF57CA"/>
              </w:txbxContent>
            </v:textbox>
            <w10:wrap type="square"/>
          </v:shape>
        </w:pict>
      </w:r>
    </w:p>
    <w:p w14:paraId="371E58D4" w14:textId="77777777" w:rsidR="00AF57CA" w:rsidRPr="008B1A54" w:rsidRDefault="00AF57CA" w:rsidP="008B1A54">
      <w:pPr>
        <w:rPr>
          <w:rFonts w:ascii="Arial" w:hAnsi="Arial" w:cs="Arial"/>
          <w:b/>
          <w:bCs/>
          <w:szCs w:val="24"/>
        </w:rPr>
      </w:pPr>
    </w:p>
    <w:p w14:paraId="22427D9B" w14:textId="77777777" w:rsidR="00AF57CA" w:rsidRPr="008B1A54" w:rsidRDefault="00AF57CA" w:rsidP="008B1A54">
      <w:pPr>
        <w:rPr>
          <w:rFonts w:ascii="Arial" w:hAnsi="Arial" w:cs="Arial"/>
          <w:b/>
          <w:bCs/>
          <w:szCs w:val="24"/>
        </w:rPr>
      </w:pPr>
    </w:p>
    <w:p w14:paraId="6BD96CD0" w14:textId="77777777" w:rsidR="00AF57CA" w:rsidRPr="008B1A54" w:rsidRDefault="00AF57CA" w:rsidP="008B1A54">
      <w:pPr>
        <w:rPr>
          <w:rFonts w:ascii="Arial" w:hAnsi="Arial" w:cs="Arial"/>
          <w:b/>
          <w:bCs/>
          <w:szCs w:val="24"/>
        </w:rPr>
      </w:pPr>
    </w:p>
    <w:p w14:paraId="0F3048AC" w14:textId="77777777" w:rsidR="00AF57CA" w:rsidRPr="008B1A54" w:rsidRDefault="00AF57CA" w:rsidP="008B1A54">
      <w:pPr>
        <w:rPr>
          <w:rFonts w:ascii="Arial" w:hAnsi="Arial" w:cs="Arial"/>
          <w:b/>
          <w:bCs/>
          <w:szCs w:val="24"/>
        </w:rPr>
      </w:pPr>
    </w:p>
    <w:p w14:paraId="4A60B18B" w14:textId="77777777" w:rsidR="00AF57CA" w:rsidRPr="008B1A54" w:rsidRDefault="00AF57CA" w:rsidP="008B1A54">
      <w:pPr>
        <w:rPr>
          <w:rFonts w:ascii="Arial" w:hAnsi="Arial" w:cs="Arial"/>
          <w:b/>
          <w:bCs/>
          <w:szCs w:val="24"/>
        </w:rPr>
      </w:pPr>
    </w:p>
    <w:p w14:paraId="7A881123" w14:textId="77777777" w:rsidR="00AF57CA" w:rsidRPr="008B1A54" w:rsidRDefault="00AF57CA" w:rsidP="008B1A54">
      <w:pPr>
        <w:rPr>
          <w:rFonts w:ascii="Arial" w:hAnsi="Arial" w:cs="Arial"/>
          <w:b/>
          <w:bCs/>
          <w:szCs w:val="24"/>
        </w:rPr>
      </w:pPr>
      <w:r w:rsidRPr="008B1A54">
        <w:rPr>
          <w:rFonts w:ascii="Arial" w:hAnsi="Arial" w:cs="Arial"/>
          <w:b/>
          <w:bCs/>
          <w:szCs w:val="24"/>
        </w:rPr>
        <w:t xml:space="preserve">Verwendete Literatur: </w:t>
      </w:r>
    </w:p>
    <w:p w14:paraId="51065E48" w14:textId="77777777" w:rsidR="00AF57CA" w:rsidRPr="008B1A54" w:rsidRDefault="00AF57CA" w:rsidP="008B1A54">
      <w:pPr>
        <w:spacing w:after="120"/>
        <w:rPr>
          <w:rFonts w:ascii="Arial" w:hAnsi="Arial" w:cs="Arial"/>
          <w:szCs w:val="24"/>
        </w:rPr>
      </w:pPr>
      <w:r w:rsidRPr="008B1A54">
        <w:rPr>
          <w:rFonts w:ascii="Arial" w:hAnsi="Arial" w:cs="Arial"/>
          <w:szCs w:val="24"/>
        </w:rPr>
        <w:t>Berger Karin u.a.: Der Himmel ist blau. Kann sein. Frauen im Widerstand 1938–1945. Wien 1985 (zitiert nach Nissen Ursula in: Gravenhorst Lerke, Tatschm</w:t>
      </w:r>
      <w:r w:rsidRPr="008B1A54">
        <w:rPr>
          <w:rFonts w:ascii="Arial" w:hAnsi="Arial" w:cs="Arial"/>
          <w:szCs w:val="24"/>
        </w:rPr>
        <w:t>u</w:t>
      </w:r>
      <w:r w:rsidRPr="008B1A54">
        <w:rPr>
          <w:rFonts w:ascii="Arial" w:hAnsi="Arial" w:cs="Arial"/>
          <w:szCs w:val="24"/>
        </w:rPr>
        <w:t>rat Carmen (Hsg): Töchte</w:t>
      </w:r>
      <w:r w:rsidRPr="008B1A54">
        <w:rPr>
          <w:rFonts w:ascii="Arial" w:hAnsi="Arial" w:cs="Arial"/>
          <w:szCs w:val="24"/>
        </w:rPr>
        <w:t>r</w:t>
      </w:r>
      <w:r w:rsidRPr="008B1A54">
        <w:rPr>
          <w:rFonts w:ascii="Arial" w:hAnsi="Arial" w:cs="Arial"/>
          <w:szCs w:val="24"/>
        </w:rPr>
        <w:t>Fragen. NS-Frauen-Geschichte. Freiburg i. Br. 1990. 329)</w:t>
      </w:r>
    </w:p>
    <w:p w14:paraId="7C5BBFA7" w14:textId="77777777" w:rsidR="00AF57CA" w:rsidRPr="008B1A54" w:rsidRDefault="00AF57CA" w:rsidP="008B1A54">
      <w:pPr>
        <w:spacing w:after="120"/>
        <w:rPr>
          <w:rFonts w:ascii="Arial" w:hAnsi="Arial" w:cs="Arial"/>
          <w:szCs w:val="24"/>
        </w:rPr>
      </w:pPr>
      <w:r w:rsidRPr="008B1A54">
        <w:rPr>
          <w:rFonts w:ascii="Arial" w:hAnsi="Arial" w:cs="Arial"/>
          <w:szCs w:val="24"/>
        </w:rPr>
        <w:t>Kuhn Annette, Rothe Valentine: Frauen im deutschen Faschismus 1933–1945. Düsseldorf 1982</w:t>
      </w:r>
    </w:p>
    <w:p w14:paraId="66D45F27" w14:textId="77777777" w:rsidR="00AF57CA" w:rsidRPr="008B1A54" w:rsidRDefault="00AF57CA" w:rsidP="008B1A54">
      <w:pPr>
        <w:spacing w:after="120"/>
        <w:rPr>
          <w:rFonts w:ascii="Arial" w:hAnsi="Arial" w:cs="Arial"/>
          <w:szCs w:val="24"/>
        </w:rPr>
      </w:pPr>
      <w:r w:rsidRPr="008B1A54">
        <w:rPr>
          <w:rFonts w:ascii="Arial" w:hAnsi="Arial" w:cs="Arial"/>
          <w:szCs w:val="24"/>
        </w:rPr>
        <w:t>Lauterbach Hanna: «Aber dann hätten wir ja nur noch Verbrecherinnen ...» Kommentar zur Di</w:t>
      </w:r>
      <w:r w:rsidRPr="008B1A54">
        <w:rPr>
          <w:rFonts w:ascii="Arial" w:hAnsi="Arial" w:cs="Arial"/>
          <w:szCs w:val="24"/>
        </w:rPr>
        <w:t>s</w:t>
      </w:r>
      <w:r w:rsidRPr="008B1A54">
        <w:rPr>
          <w:rFonts w:ascii="Arial" w:hAnsi="Arial" w:cs="Arial"/>
          <w:szCs w:val="24"/>
        </w:rPr>
        <w:t>kussion über den Anteil von Frauen am ‹Handlungskollektik Deutschland›. In: Gravenhorst Lerke, Tatschmurat Carmen (Hsg.): Töchter-Fragen. NS-Frauen-Geschichte. Fre</w:t>
      </w:r>
      <w:r w:rsidRPr="008B1A54">
        <w:rPr>
          <w:rFonts w:ascii="Arial" w:hAnsi="Arial" w:cs="Arial"/>
          <w:szCs w:val="24"/>
        </w:rPr>
        <w:t>i</w:t>
      </w:r>
      <w:r w:rsidRPr="008B1A54">
        <w:rPr>
          <w:rFonts w:ascii="Arial" w:hAnsi="Arial" w:cs="Arial"/>
          <w:szCs w:val="24"/>
        </w:rPr>
        <w:t>burg i Br 1990. 141–145</w:t>
      </w:r>
    </w:p>
    <w:p w14:paraId="7C53542C" w14:textId="77777777" w:rsidR="00AF57CA" w:rsidRPr="008B1A54" w:rsidRDefault="00AF57CA" w:rsidP="008B1A54">
      <w:pPr>
        <w:spacing w:after="120"/>
        <w:rPr>
          <w:rFonts w:ascii="Arial" w:hAnsi="Arial" w:cs="Arial"/>
          <w:szCs w:val="24"/>
        </w:rPr>
      </w:pPr>
      <w:r w:rsidRPr="008B1A54">
        <w:rPr>
          <w:rFonts w:ascii="Arial" w:hAnsi="Arial" w:cs="Arial"/>
          <w:szCs w:val="24"/>
        </w:rPr>
        <w:t>Mitscherlich Margarete: Die friedfertige Frau. Frankfurt/M 1985</w:t>
      </w:r>
    </w:p>
    <w:p w14:paraId="23D1299A" w14:textId="77777777" w:rsidR="00AF57CA" w:rsidRPr="008B1A54" w:rsidRDefault="00AF57CA" w:rsidP="008B1A54">
      <w:pPr>
        <w:spacing w:after="120"/>
        <w:rPr>
          <w:rFonts w:ascii="Arial" w:hAnsi="Arial" w:cs="Arial"/>
          <w:szCs w:val="24"/>
        </w:rPr>
      </w:pPr>
      <w:r w:rsidRPr="008B1A54">
        <w:rPr>
          <w:rFonts w:ascii="Arial" w:hAnsi="Arial" w:cs="Arial"/>
          <w:szCs w:val="24"/>
        </w:rPr>
        <w:t>Thürmer-Rohr Christina: Vagabundinnen. Feminist</w:t>
      </w:r>
      <w:r w:rsidRPr="008B1A54">
        <w:rPr>
          <w:rFonts w:ascii="Arial" w:hAnsi="Arial" w:cs="Arial"/>
          <w:szCs w:val="24"/>
        </w:rPr>
        <w:t>i</w:t>
      </w:r>
      <w:r w:rsidRPr="008B1A54">
        <w:rPr>
          <w:rFonts w:ascii="Arial" w:hAnsi="Arial" w:cs="Arial"/>
          <w:szCs w:val="24"/>
        </w:rPr>
        <w:t>sche Essays. Berlin, 2. Auflage, 1987</w:t>
      </w:r>
    </w:p>
    <w:p w14:paraId="2A35B81D" w14:textId="77777777" w:rsidR="00AF57CA" w:rsidRPr="008B1A54" w:rsidRDefault="00AF57CA" w:rsidP="008B1A54">
      <w:pPr>
        <w:spacing w:after="120"/>
        <w:rPr>
          <w:rFonts w:ascii="Arial" w:hAnsi="Arial" w:cs="Arial"/>
          <w:szCs w:val="24"/>
        </w:rPr>
      </w:pPr>
    </w:p>
    <w:sectPr w:rsidR="00AF57CA" w:rsidRPr="008B1A54">
      <w:headerReference w:type="default" r:id="rId7"/>
      <w:footerReference w:type="default" r:id="rId8"/>
      <w:pgSz w:w="16838" w:h="11906" w:orient="landscape" w:code="9"/>
      <w:pgMar w:top="567" w:right="567" w:bottom="567" w:left="567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1F9E" w14:textId="77777777" w:rsidR="00AF57CA" w:rsidRDefault="00AF57CA">
      <w:r>
        <w:separator/>
      </w:r>
    </w:p>
  </w:endnote>
  <w:endnote w:type="continuationSeparator" w:id="0">
    <w:p w14:paraId="113CD963" w14:textId="77777777" w:rsidR="00AF57CA" w:rsidRDefault="00AF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565A" w14:textId="77777777" w:rsidR="008B1A54" w:rsidRDefault="00704094">
    <w:pPr>
      <w:pStyle w:val="Fuzeile"/>
    </w:pPr>
    <w:r>
      <w:rPr>
        <w:noProof/>
      </w:rPr>
    </w:r>
    <w:r w:rsidR="00704094">
      <w:rPr>
        <w:noProof/>
      </w:rPr>
      <w:pict w14:anchorId="40CD27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8" o:spid="_x0000_s1025" type="#_x0000_t75" alt="Ein Bild, das Text, ClipArt enthält.&#10;&#10;Automatisch generierte Beschreibung" style="position:absolute;margin-left:-.35pt;margin-top:3.5pt;width:66.9pt;height:23pt;z-index:251658240;visibility:visible;mso-wrap-edited:f;mso-width-percent:0;mso-height-percent:0;mso-width-percent:0;mso-height-percent:0">
          <v:imagedata r:id="rId1" o:title="Ein Bild, das Text, ClipArt enthält"/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F6EA" w14:textId="77777777" w:rsidR="00AF57CA" w:rsidRDefault="00AF57CA">
      <w:r>
        <w:separator/>
      </w:r>
    </w:p>
  </w:footnote>
  <w:footnote w:type="continuationSeparator" w:id="0">
    <w:p w14:paraId="179688DA" w14:textId="77777777" w:rsidR="00AF57CA" w:rsidRDefault="00AF57CA">
      <w:r>
        <w:continuationSeparator/>
      </w:r>
    </w:p>
  </w:footnote>
  <w:footnote w:id="1">
    <w:p w14:paraId="65DCA2DA" w14:textId="77777777" w:rsidR="00AF57CA" w:rsidRPr="008B1A54" w:rsidRDefault="00AF57CA">
      <w:pPr>
        <w:pStyle w:val="Funotentext"/>
        <w:rPr>
          <w:rFonts w:ascii="Arial" w:hAnsi="Arial" w:cs="Arial"/>
        </w:rPr>
      </w:pPr>
      <w:r w:rsidRPr="008B1A54">
        <w:rPr>
          <w:rStyle w:val="Funotenzeichen"/>
          <w:rFonts w:ascii="Arial" w:hAnsi="Arial" w:cs="Arial"/>
        </w:rPr>
        <w:footnoteRef/>
      </w:r>
      <w:r w:rsidRPr="008B1A54">
        <w:rPr>
          <w:rFonts w:ascii="Arial" w:hAnsi="Arial" w:cs="Arial"/>
        </w:rPr>
        <w:t xml:space="preserve"> Es gab allerdings schon vor 1980 vereinzelte Untersuchungen über die Rolle der Frau im Faschismus, aber sie wurden nicht stark beachtet.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145B" w14:textId="77777777" w:rsidR="00AF57CA" w:rsidRDefault="00704094">
    <w:pPr>
      <w:pStyle w:val="Kopfzeile"/>
      <w:tabs>
        <w:tab w:val="clear" w:pos="4536"/>
        <w:tab w:val="clear" w:pos="9072"/>
        <w:tab w:val="right" w:pos="15708"/>
      </w:tabs>
      <w:rPr>
        <w:bCs/>
        <w:sz w:val="20"/>
        <w:lang w:val="it-IT"/>
      </w:rPr>
    </w:pPr>
    <w:r>
      <w:rPr>
        <w:noProof/>
      </w:rPr>
    </w:r>
    <w:r w:rsidR="00704094">
      <w:rPr>
        <w:noProof/>
      </w:rPr>
      <w:pict w14:anchorId="4D235B60">
        <v:shapetype id="_x0000_t202" coordsize="21600,21600" o:spt="202" path="m,l,21600r21600,l21600,xe">
          <v:stroke joinstyle="miter"/>
          <v:path gradientshapeok="t" o:connecttype="rect"/>
        </v:shapetype>
        <v:shape id="Textfeld 17" o:spid="_x0000_s1036" type="#_x0000_t202" style="position:absolute;margin-left:617.65pt;margin-top:-9.2pt;width:134.6pt;height:3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" fillcolor="window" stroked="f" strokeweight=".5pt">
          <o:lock v:ext="edit" aspectratio="t" verticies="t" text="t" shapetype="t"/>
          <v:textbox>
            <w:txbxContent>
              <w:p w14:paraId="10C904C5" w14:textId="77777777" w:rsidR="008B1A54" w:rsidRPr="005D33B1" w:rsidRDefault="008B1A54" w:rsidP="008B1A54">
                <w:pPr>
                  <w:jc w:val="right"/>
                  <w:rPr>
                    <w:sz w:val="16"/>
                    <w:szCs w:val="16"/>
                  </w:rPr>
                </w:pPr>
                <w:r w:rsidRPr="005D33B1">
                  <w:rPr>
                    <w:rFonts w:ascii="Arial" w:hAnsi="Arial" w:cs="Arial"/>
                    <w:sz w:val="16"/>
                    <w:szCs w:val="16"/>
                  </w:rPr>
                  <w:t xml:space="preserve">Unterrichtsportal </w:t>
                </w:r>
                <w:hyperlink r:id="rId1" w:history="1">
                  <w:r w:rsidRPr="005D33B1">
                    <w:rPr>
                      <w:rStyle w:val="Hyperlink"/>
                      <w:rFonts w:ascii="Arial" w:hAnsi="Arial" w:cs="Arial"/>
                      <w:sz w:val="16"/>
                      <w:szCs w:val="16"/>
                    </w:rPr>
                    <w:t>www.rzg-oer.ch</w:t>
                  </w:r>
                </w:hyperlink>
              </w:p>
              <w:p w14:paraId="0AC8B578" w14:textId="77777777" w:rsidR="008B1A54" w:rsidRPr="005D33B1" w:rsidRDefault="008B1A54" w:rsidP="008B1A54">
                <w:pPr>
                  <w:spacing w:before="120" w:after="100" w:afterAutospacing="1" w:line="276" w:lineRule="auto"/>
                  <w:jc w:val="right"/>
                  <w:outlineLvl w:val="0"/>
                  <w:rPr>
                    <w:rFonts w:ascii="Arial" w:hAnsi="Arial" w:cs="Arial"/>
                    <w:color w:val="000000"/>
                    <w:kern w:val="36"/>
                    <w:sz w:val="16"/>
                    <w:szCs w:val="16"/>
                  </w:rPr>
                </w:pPr>
                <w:r w:rsidRPr="005D33B1">
                  <w:rPr>
                    <w:rFonts w:ascii="Arial" w:hAnsi="Arial" w:cs="Arial"/>
                    <w:color w:val="000000"/>
                    <w:kern w:val="36"/>
                    <w:sz w:val="16"/>
                    <w:szCs w:val="16"/>
                  </w:rPr>
                  <w:t>Unterrichtseinheit «</w:t>
                </w:r>
                <w:r>
                  <w:rPr>
                    <w:rFonts w:ascii="Arial" w:hAnsi="Arial" w:cs="Arial"/>
                    <w:color w:val="000000"/>
                    <w:kern w:val="36"/>
                    <w:sz w:val="16"/>
                    <w:szCs w:val="16"/>
                  </w:rPr>
                  <w:t>Holocaust</w:t>
                </w:r>
                <w:r w:rsidRPr="005D33B1">
                  <w:rPr>
                    <w:rFonts w:ascii="Arial" w:hAnsi="Arial" w:cs="Arial"/>
                    <w:color w:val="000000"/>
                    <w:kern w:val="36"/>
                    <w:sz w:val="16"/>
                    <w:szCs w:val="16"/>
                  </w:rPr>
                  <w:t>»</w:t>
                </w:r>
              </w:p>
            </w:txbxContent>
          </v:textbox>
        </v:shape>
      </w:pict>
    </w:r>
    <w:r w:rsidR="00AF57CA">
      <w:rPr>
        <w:bCs/>
        <w:sz w:val="20"/>
        <w:lang w:val="it-IT"/>
      </w:rPr>
      <w:t xml:space="preserve"> </w:t>
    </w:r>
    <w:r w:rsidRPr="007107FA">
      <w:rPr>
        <w:noProof/>
      </w:rPr>
    </w:r>
    <w:r w:rsidR="00704094" w:rsidRPr="007107FA">
      <w:rPr>
        <w:noProof/>
      </w:rPr>
      <w:pict w14:anchorId="0042CC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Ein Bild, das Text enthält.&#10;&#10;Automatisch generierte Beschreibung" style="width:183.05pt;height:27.75pt;visibility:visible;mso-width-percent:0;mso-height-percent:0;mso-width-percent:0;mso-height-percent:0">
          <v:imagedata r:id="rId2" o:title="Ein Bild, das Text enthält"/>
        </v:shape>
      </w:pict>
    </w:r>
  </w:p>
  <w:p w14:paraId="1901DD13" w14:textId="77777777" w:rsidR="008B1A54" w:rsidRDefault="008B1A54">
    <w:pPr>
      <w:pStyle w:val="Kopfzeile"/>
      <w:tabs>
        <w:tab w:val="clear" w:pos="4536"/>
        <w:tab w:val="clear" w:pos="9072"/>
        <w:tab w:val="right" w:pos="1570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6455"/>
    <w:multiLevelType w:val="singleLevel"/>
    <w:tmpl w:val="DEDAD4F8"/>
    <w:lvl w:ilvl="0">
      <w:start w:val="1"/>
      <w:numFmt w:val="bullet"/>
      <w:pStyle w:val="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" w15:restartNumberingAfterBreak="0">
    <w:nsid w:val="08322334"/>
    <w:multiLevelType w:val="hybridMultilevel"/>
    <w:tmpl w:val="6E2C0014"/>
    <w:lvl w:ilvl="0" w:tplc="9020A2E4">
      <w:start w:val="1"/>
      <w:numFmt w:val="decimal"/>
      <w:lvlText w:val="1.%1"/>
      <w:lvlJc w:val="left"/>
      <w:pPr>
        <w:tabs>
          <w:tab w:val="num" w:pos="1470"/>
        </w:tabs>
        <w:ind w:left="1470" w:hanging="390"/>
      </w:pPr>
      <w:rPr>
        <w:rFonts w:ascii="Times New Roman" w:hAnsi="Times New Roman" w:hint="default"/>
        <w:b/>
        <w:i w:val="0"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0043B"/>
    <w:multiLevelType w:val="hybridMultilevel"/>
    <w:tmpl w:val="0974EAB4"/>
    <w:lvl w:ilvl="0" w:tplc="008C56E0">
      <w:start w:val="1"/>
      <w:numFmt w:val="decimal"/>
      <w:pStyle w:val="berschrift2"/>
      <w:lvlText w:val="1.%1"/>
      <w:lvlJc w:val="left"/>
      <w:pPr>
        <w:tabs>
          <w:tab w:val="num" w:pos="1470"/>
        </w:tabs>
        <w:ind w:left="1470" w:hanging="390"/>
      </w:pPr>
      <w:rPr>
        <w:rFonts w:ascii="Arial" w:hAnsi="Arial" w:hint="default"/>
        <w:b/>
        <w:i w:val="0"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2278CD"/>
    <w:multiLevelType w:val="hybridMultilevel"/>
    <w:tmpl w:val="6978A07E"/>
    <w:lvl w:ilvl="0" w:tplc="94620BE6">
      <w:start w:val="1"/>
      <w:numFmt w:val="decimal"/>
      <w:pStyle w:val="v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B87DAA"/>
    <w:multiLevelType w:val="hybridMultilevel"/>
    <w:tmpl w:val="3F088272"/>
    <w:lvl w:ilvl="0" w:tplc="D3AAC980">
      <w:start w:val="1"/>
      <w:numFmt w:val="decimal"/>
      <w:pStyle w:val="Formatvorlage1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A73B4A"/>
    <w:multiLevelType w:val="hybridMultilevel"/>
    <w:tmpl w:val="6B700696"/>
    <w:lvl w:ilvl="0" w:tplc="11D4534A">
      <w:start w:val="1"/>
      <w:numFmt w:val="decimal"/>
      <w:pStyle w:val="aufznum1"/>
      <w:lvlText w:val="%1."/>
      <w:lvlJc w:val="left"/>
      <w:pPr>
        <w:tabs>
          <w:tab w:val="num" w:pos="1287"/>
        </w:tabs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42A735A7"/>
    <w:multiLevelType w:val="multilevel"/>
    <w:tmpl w:val="94C83EB2"/>
    <w:lvl w:ilvl="0">
      <w:start w:val="1"/>
      <w:numFmt w:val="decimal"/>
      <w:pStyle w:val="berschrift2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pStyle w:val="berschrift3"/>
      <w:isLgl/>
      <w:lvlText w:val="%1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75CC5F3F"/>
    <w:multiLevelType w:val="hybridMultilevel"/>
    <w:tmpl w:val="BB64846C"/>
    <w:lvl w:ilvl="0" w:tplc="BEF665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grammar="clean"/>
  <w:doNotTrackMoves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1A54"/>
    <w:rsid w:val="00704094"/>
    <w:rsid w:val="008B1A54"/>
    <w:rsid w:val="00A739E1"/>
    <w:rsid w:val="00AF57CA"/>
    <w:rsid w:val="00B0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;"/>
  <w14:docId w14:val="7C231635"/>
  <w15:chartTrackingRefBased/>
  <w15:docId w15:val="{A9F7A4B9-AF28-EE45-AF0A-AFC5FCE6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bCs/>
      <w:color w:val="000000"/>
      <w:sz w:val="32"/>
      <w:lang w:val="de-DE"/>
    </w:rPr>
  </w:style>
  <w:style w:type="paragraph" w:styleId="berschrift2">
    <w:name w:val="heading 2"/>
    <w:basedOn w:val="Standard"/>
    <w:next w:val="Standard"/>
    <w:qFormat/>
    <w:pPr>
      <w:keepNext/>
      <w:numPr>
        <w:numId w:val="4"/>
      </w:numPr>
      <w:outlineLvl w:val="1"/>
    </w:pPr>
    <w:rPr>
      <w:rFonts w:ascii="Arial" w:hAnsi="Arial"/>
      <w:b/>
      <w:bCs/>
      <w:color w:val="000000"/>
      <w:sz w:val="28"/>
      <w:lang w:val="de-DE"/>
    </w:rPr>
  </w:style>
  <w:style w:type="paragraph" w:styleId="berschrift30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/>
      <w:i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kverz01">
    <w:name w:val="vokverz01"/>
    <w:basedOn w:val="NurText"/>
    <w:pPr>
      <w:spacing w:after="480"/>
      <w:ind w:left="3005" w:hanging="3005"/>
    </w:pPr>
    <w:rPr>
      <w:rFonts w:ascii="Times New Roman" w:hAnsi="Times New Roman"/>
    </w:rPr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customStyle="1" w:styleId="berschrift40">
    <w:name w:val="Überschrift_4"/>
    <w:basedOn w:val="Standard"/>
    <w:autoRedefine/>
    <w:pPr>
      <w:spacing w:before="120"/>
    </w:pPr>
    <w:rPr>
      <w:b/>
      <w:bCs/>
      <w:sz w:val="26"/>
    </w:rPr>
  </w:style>
  <w:style w:type="paragraph" w:styleId="Beschriftung">
    <w:name w:val="caption"/>
    <w:basedOn w:val="Standard"/>
    <w:next w:val="Standard"/>
    <w:qFormat/>
    <w:rPr>
      <w:sz w:val="20"/>
    </w:rPr>
  </w:style>
  <w:style w:type="paragraph" w:customStyle="1" w:styleId="Formatvorlage1">
    <w:name w:val="Formatvorlage1"/>
    <w:basedOn w:val="Textkrper"/>
    <w:pPr>
      <w:numPr>
        <w:numId w:val="8"/>
      </w:numPr>
      <w:spacing w:before="60" w:after="60"/>
    </w:pPr>
    <w:rPr>
      <w:szCs w:val="24"/>
    </w:rPr>
  </w:style>
  <w:style w:type="paragraph" w:customStyle="1" w:styleId="zitat">
    <w:name w:val="zitat"/>
    <w:basedOn w:val="Standard"/>
    <w:autoRedefine/>
    <w:pPr>
      <w:spacing w:before="120" w:after="120"/>
      <w:ind w:left="567"/>
    </w:pPr>
    <w:rPr>
      <w:snapToGrid w:val="0"/>
      <w:sz w:val="20"/>
    </w:rPr>
  </w:style>
  <w:style w:type="paragraph" w:customStyle="1" w:styleId="fallbeschrieb">
    <w:name w:val="fallbeschrieb"/>
    <w:basedOn w:val="Standard"/>
    <w:autoRedefine/>
    <w:pPr>
      <w:shd w:val="pct12" w:color="auto" w:fill="FFFFFF"/>
    </w:pPr>
  </w:style>
  <w:style w:type="paragraph" w:customStyle="1" w:styleId="zitat02">
    <w:name w:val="zitat02"/>
    <w:basedOn w:val="Standard"/>
    <w:autoRedefine/>
    <w:pPr>
      <w:ind w:left="1701"/>
      <w:jc w:val="right"/>
    </w:pPr>
    <w:rPr>
      <w:sz w:val="20"/>
    </w:rPr>
  </w:style>
  <w:style w:type="paragraph" w:customStyle="1" w:styleId="d">
    <w:name w:val="d"/>
    <w:basedOn w:val="Standard"/>
    <w:pPr>
      <w:ind w:left="1418" w:hanging="1418"/>
    </w:pPr>
  </w:style>
  <w:style w:type="paragraph" w:customStyle="1" w:styleId="c">
    <w:name w:val="c"/>
    <w:basedOn w:val="Standard"/>
    <w:autoRedefine/>
    <w:pPr>
      <w:tabs>
        <w:tab w:val="left" w:pos="2977"/>
      </w:tabs>
      <w:ind w:left="2977" w:hanging="1276"/>
    </w:pPr>
  </w:style>
  <w:style w:type="paragraph" w:customStyle="1" w:styleId="re">
    <w:name w:val="re"/>
    <w:basedOn w:val="Standard"/>
    <w:pPr>
      <w:numPr>
        <w:numId w:val="1"/>
      </w:numPr>
      <w:shd w:val="pct12" w:color="auto" w:fill="FFFFFF"/>
    </w:pPr>
  </w:style>
  <w:style w:type="paragraph" w:customStyle="1" w:styleId="berschrift20">
    <w:name w:val="überschrift_2"/>
    <w:basedOn w:val="Standard"/>
    <w:autoRedefine/>
    <w:pPr>
      <w:numPr>
        <w:numId w:val="7"/>
      </w:numPr>
      <w:tabs>
        <w:tab w:val="left" w:pos="567"/>
      </w:tabs>
    </w:pPr>
    <w:rPr>
      <w:b/>
      <w:sz w:val="28"/>
    </w:rPr>
  </w:style>
  <w:style w:type="paragraph" w:customStyle="1" w:styleId="vok">
    <w:name w:val="vok"/>
    <w:basedOn w:val="Standard"/>
    <w:pPr>
      <w:numPr>
        <w:numId w:val="6"/>
      </w:numPr>
      <w:spacing w:after="400"/>
    </w:pPr>
    <w:rPr>
      <w:lang w:val="en-GB"/>
    </w:rPr>
  </w:style>
  <w:style w:type="paragraph" w:customStyle="1" w:styleId="berschrift3">
    <w:name w:val="überschrift 3"/>
    <w:basedOn w:val="berschrift30"/>
    <w:pPr>
      <w:numPr>
        <w:ilvl w:val="1"/>
        <w:numId w:val="7"/>
      </w:numPr>
    </w:pPr>
    <w:rPr>
      <w:rFonts w:ascii="Times New Roman" w:hAnsi="Times New Roman"/>
    </w:rPr>
  </w:style>
  <w:style w:type="paragraph" w:styleId="Textkrper">
    <w:name w:val="Body Text"/>
    <w:basedOn w:val="Standard"/>
    <w:semiHidden/>
    <w:pPr>
      <w:spacing w:after="120"/>
    </w:pPr>
  </w:style>
  <w:style w:type="paragraph" w:customStyle="1" w:styleId="aufznum1">
    <w:name w:val="aufz_num_1"/>
    <w:basedOn w:val="Standard"/>
    <w:pPr>
      <w:numPr>
        <w:numId w:val="9"/>
      </w:numPr>
      <w:tabs>
        <w:tab w:val="left" w:pos="567"/>
      </w:tabs>
      <w:spacing w:after="120"/>
    </w:p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2">
    <w:name w:val="Body Text 2"/>
    <w:basedOn w:val="Standard"/>
    <w:semiHidden/>
    <w:pPr>
      <w:jc w:val="right"/>
    </w:pPr>
    <w:rPr>
      <w:sz w:val="20"/>
    </w:rPr>
  </w:style>
  <w:style w:type="paragraph" w:styleId="Textkrper3">
    <w:name w:val="Body Text 3"/>
    <w:basedOn w:val="Standard"/>
    <w:semiHidden/>
    <w:pPr>
      <w:jc w:val="both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uiPriority w:val="99"/>
    <w:unhideWhenUsed/>
    <w:rsid w:val="008B1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rzg-oer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Frauen im Nationalsozialismus</vt:lpstr>
    </vt:vector>
  </TitlesOfParts>
  <Company>Gym Oberwil</Company>
  <LinksUpToDate>false</LinksUpToDate>
  <CharactersWithSpaces>1533</CharactersWithSpaces>
  <SharedDoc>false</SharedDoc>
  <HLinks>
    <vt:vector size="6" baseType="variant">
      <vt:variant>
        <vt:i4>7274532</vt:i4>
      </vt:variant>
      <vt:variant>
        <vt:i4>0</vt:i4>
      </vt:variant>
      <vt:variant>
        <vt:i4>0</vt:i4>
      </vt:variant>
      <vt:variant>
        <vt:i4>5</vt:i4>
      </vt:variant>
      <vt:variant>
        <vt:lpwstr>http://www.rzg-oer.ch/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Frauen im Nationalsozialismus</dc:title>
  <dc:subject/>
  <dc:creator>Hans Utz </dc:creator>
  <cp:keywords/>
  <dc:description/>
  <cp:lastModifiedBy>Sauerländer, Dominik (SekTW)</cp:lastModifiedBy>
  <cp:revision>2</cp:revision>
  <dcterms:created xsi:type="dcterms:W3CDTF">2022-01-07T11:08:00Z</dcterms:created>
  <dcterms:modified xsi:type="dcterms:W3CDTF">2022-01-07T11:08:00Z</dcterms:modified>
</cp:coreProperties>
</file>