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4677F4F6" w:rsidR="00B10673" w:rsidRPr="00863130" w:rsidRDefault="00D62411" w:rsidP="00863130">
      <w:pPr>
        <w:spacing w:before="120" w:line="276" w:lineRule="auto"/>
        <w:ind w:right="686"/>
        <w:rPr>
          <w:rFonts w:ascii="Arial" w:hAnsi="Arial" w:cs="Arial"/>
          <w:lang w:val="de-DE"/>
        </w:rPr>
      </w:pPr>
      <w:r w:rsidRPr="00863130">
        <w:rPr>
          <w:rFonts w:ascii="Arial" w:hAnsi="Arial" w:cs="Arial"/>
          <w:lang w:val="de-DE"/>
        </w:rPr>
        <w:t>Zweiter Weltkrieg</w:t>
      </w:r>
      <w:r w:rsidR="00B10673" w:rsidRPr="00863130">
        <w:rPr>
          <w:rFonts w:ascii="Arial" w:hAnsi="Arial" w:cs="Arial"/>
          <w:lang w:val="de-DE"/>
        </w:rPr>
        <w:t xml:space="preserve">: </w:t>
      </w:r>
      <w:r w:rsidR="00C17C97" w:rsidRPr="00863130">
        <w:rPr>
          <w:rFonts w:ascii="Arial" w:hAnsi="Arial" w:cs="Arial"/>
          <w:lang w:val="de-DE"/>
        </w:rPr>
        <w:t>Kriegsentwicklung</w:t>
      </w:r>
    </w:p>
    <w:p w14:paraId="241636C4" w14:textId="35504308" w:rsidR="009F035F" w:rsidRPr="00863130" w:rsidRDefault="00B10673" w:rsidP="00863130">
      <w:pPr>
        <w:spacing w:before="120" w:line="276" w:lineRule="auto"/>
        <w:ind w:right="686"/>
        <w:rPr>
          <w:rFonts w:ascii="Arial" w:hAnsi="Arial" w:cs="Arial"/>
          <w:lang w:val="de-DE"/>
        </w:rPr>
      </w:pPr>
      <w:r w:rsidRPr="00863130">
        <w:rPr>
          <w:rFonts w:ascii="Arial" w:hAnsi="Arial" w:cs="Arial"/>
          <w:lang w:val="de-DE"/>
        </w:rPr>
        <w:t xml:space="preserve">Kapitel </w:t>
      </w:r>
      <w:r w:rsidR="00CA0678">
        <w:rPr>
          <w:rFonts w:ascii="Arial" w:hAnsi="Arial" w:cs="Arial"/>
          <w:lang w:val="de-DE"/>
        </w:rPr>
        <w:t>4:</w:t>
      </w:r>
      <w:r w:rsidRPr="00863130">
        <w:rPr>
          <w:rFonts w:ascii="Arial" w:hAnsi="Arial" w:cs="Arial"/>
          <w:lang w:val="de-DE"/>
        </w:rPr>
        <w:t xml:space="preserve"> </w:t>
      </w:r>
      <w:r w:rsidR="00CA0678">
        <w:rPr>
          <w:rFonts w:ascii="Arial" w:hAnsi="Arial" w:cs="Arial"/>
          <w:lang w:val="de-DE"/>
        </w:rPr>
        <w:t>Befehlsnotstand</w:t>
      </w:r>
    </w:p>
    <w:p w14:paraId="5A09B93E" w14:textId="42146281" w:rsidR="005D33B1" w:rsidRPr="00863130" w:rsidRDefault="005D33B1" w:rsidP="00863130">
      <w:pPr>
        <w:spacing w:before="120" w:line="276" w:lineRule="auto"/>
        <w:ind w:right="686"/>
        <w:rPr>
          <w:rFonts w:ascii="Arial" w:hAnsi="Arial" w:cs="Arial"/>
          <w:lang w:val="de-DE"/>
        </w:rPr>
      </w:pPr>
    </w:p>
    <w:p w14:paraId="2313C6AE" w14:textId="77777777" w:rsidR="005D33B1" w:rsidRPr="00863130" w:rsidRDefault="005D33B1" w:rsidP="00863130">
      <w:pPr>
        <w:spacing w:before="120" w:line="276" w:lineRule="auto"/>
        <w:ind w:right="686"/>
        <w:rPr>
          <w:rFonts w:ascii="Arial" w:hAnsi="Arial" w:cs="Arial"/>
          <w:lang w:val="de-DE"/>
        </w:rPr>
      </w:pPr>
    </w:p>
    <w:p w14:paraId="15700316" w14:textId="65383E7C" w:rsidR="00863130" w:rsidRPr="00863130" w:rsidRDefault="00863130" w:rsidP="00863130">
      <w:pPr>
        <w:spacing w:before="120" w:line="276" w:lineRule="auto"/>
        <w:rPr>
          <w:rFonts w:ascii="Arial" w:hAnsi="Arial" w:cs="Arial"/>
          <w:b/>
          <w:sz w:val="32"/>
          <w:szCs w:val="32"/>
        </w:rPr>
      </w:pPr>
      <w:r w:rsidRPr="00863130">
        <w:rPr>
          <w:rFonts w:ascii="Arial" w:hAnsi="Arial" w:cs="Arial"/>
          <w:b/>
          <w:bCs/>
          <w:sz w:val="32"/>
          <w:szCs w:val="32"/>
        </w:rPr>
        <w:t>«Befehl ist Befehl»: d</w:t>
      </w:r>
      <w:r w:rsidRPr="00863130">
        <w:rPr>
          <w:rFonts w:ascii="Arial" w:hAnsi="Arial" w:cs="Arial"/>
          <w:b/>
          <w:sz w:val="32"/>
          <w:szCs w:val="32"/>
        </w:rPr>
        <w:t>rei Haltungen</w:t>
      </w:r>
    </w:p>
    <w:p w14:paraId="7F962F01" w14:textId="77777777" w:rsidR="0068599B" w:rsidRDefault="0068599B" w:rsidP="00863130">
      <w:pPr>
        <w:pStyle w:val="Textkrper2"/>
        <w:spacing w:before="120" w:line="276" w:lineRule="auto"/>
        <w:jc w:val="left"/>
        <w:rPr>
          <w:rFonts w:ascii="Arial" w:hAnsi="Arial" w:cs="Arial"/>
          <w:szCs w:val="24"/>
        </w:rPr>
      </w:pPr>
    </w:p>
    <w:p w14:paraId="13D50C90" w14:textId="7D5A55E1" w:rsidR="00863130" w:rsidRPr="00863130" w:rsidRDefault="00863130" w:rsidP="00863130">
      <w:pPr>
        <w:pStyle w:val="Textkrper2"/>
        <w:spacing w:before="120" w:line="276" w:lineRule="auto"/>
        <w:jc w:val="left"/>
        <w:rPr>
          <w:rFonts w:ascii="Arial" w:hAnsi="Arial" w:cs="Arial"/>
          <w:szCs w:val="24"/>
        </w:rPr>
      </w:pPr>
      <w:r w:rsidRPr="00863130">
        <w:rPr>
          <w:rFonts w:ascii="Arial" w:hAnsi="Arial" w:cs="Arial"/>
          <w:szCs w:val="24"/>
        </w:rPr>
        <w:t>Im Herbst 1941 war das 691. Infanterieregiment</w:t>
      </w:r>
      <w:r w:rsidRPr="00863130">
        <w:rPr>
          <w:rStyle w:val="Funotenzeichen"/>
          <w:rFonts w:ascii="Arial" w:hAnsi="Arial" w:cs="Arial"/>
          <w:szCs w:val="24"/>
        </w:rPr>
        <w:footnoteReference w:id="1"/>
      </w:r>
      <w:r w:rsidRPr="00863130">
        <w:rPr>
          <w:rFonts w:ascii="Arial" w:hAnsi="Arial" w:cs="Arial"/>
          <w:szCs w:val="24"/>
        </w:rPr>
        <w:t xml:space="preserve"> in </w:t>
      </w:r>
      <w:proofErr w:type="spellStart"/>
      <w:r w:rsidRPr="00863130">
        <w:rPr>
          <w:rFonts w:ascii="Arial" w:hAnsi="Arial" w:cs="Arial"/>
          <w:szCs w:val="24"/>
        </w:rPr>
        <w:t>Weissrussland</w:t>
      </w:r>
      <w:proofErr w:type="spellEnd"/>
      <w:r w:rsidRPr="00863130">
        <w:rPr>
          <w:rFonts w:ascii="Arial" w:hAnsi="Arial" w:cs="Arial"/>
          <w:szCs w:val="24"/>
        </w:rPr>
        <w:t xml:space="preserve"> hinter der Front stationiert. Damals </w:t>
      </w:r>
      <w:proofErr w:type="spellStart"/>
      <w:r w:rsidRPr="00863130">
        <w:rPr>
          <w:rFonts w:ascii="Arial" w:hAnsi="Arial" w:cs="Arial"/>
          <w:szCs w:val="24"/>
        </w:rPr>
        <w:t>erliess</w:t>
      </w:r>
      <w:proofErr w:type="spellEnd"/>
      <w:r w:rsidRPr="00863130">
        <w:rPr>
          <w:rFonts w:ascii="Arial" w:hAnsi="Arial" w:cs="Arial"/>
          <w:szCs w:val="24"/>
        </w:rPr>
        <w:t xml:space="preserve"> die Wehrmachtsführung den Befehl, dass jeder Jude ein Partisan sei. </w:t>
      </w:r>
    </w:p>
    <w:p w14:paraId="6F4FA62F" w14:textId="77777777" w:rsidR="00863130" w:rsidRPr="00863130" w:rsidRDefault="00863130" w:rsidP="00863130">
      <w:pPr>
        <w:spacing w:before="120" w:line="276" w:lineRule="auto"/>
        <w:rPr>
          <w:rFonts w:ascii="Arial" w:hAnsi="Arial" w:cs="Arial"/>
        </w:rPr>
      </w:pPr>
      <w:r w:rsidRPr="00863130">
        <w:rPr>
          <w:rFonts w:ascii="Arial" w:hAnsi="Arial" w:cs="Arial"/>
          <w:lang w:val="fr-CH"/>
        </w:rPr>
        <w:t xml:space="preserve">Major </w:t>
      </w:r>
      <w:r w:rsidRPr="00863130">
        <w:rPr>
          <w:rFonts w:ascii="Arial" w:hAnsi="Arial" w:cs="Arial"/>
          <w:i/>
          <w:lang w:val="fr-CH"/>
        </w:rPr>
        <w:t xml:space="preserve">Alfred </w:t>
      </w:r>
      <w:proofErr w:type="spellStart"/>
      <w:r w:rsidRPr="00863130">
        <w:rPr>
          <w:rFonts w:ascii="Arial" w:hAnsi="Arial" w:cs="Arial"/>
          <w:i/>
          <w:lang w:val="fr-CH"/>
        </w:rPr>
        <w:t>Commichau</w:t>
      </w:r>
      <w:proofErr w:type="spellEnd"/>
      <w:r w:rsidRPr="00863130">
        <w:rPr>
          <w:rFonts w:ascii="Arial" w:hAnsi="Arial" w:cs="Arial"/>
          <w:lang w:val="fr-CH"/>
        </w:rPr>
        <w:t xml:space="preserve">, </w:t>
      </w:r>
      <w:proofErr w:type="spellStart"/>
      <w:r w:rsidRPr="00863130">
        <w:rPr>
          <w:rFonts w:ascii="Arial" w:hAnsi="Arial" w:cs="Arial"/>
          <w:lang w:val="fr-CH"/>
        </w:rPr>
        <w:t>Kommandeur</w:t>
      </w:r>
      <w:proofErr w:type="spellEnd"/>
      <w:r w:rsidRPr="00863130">
        <w:rPr>
          <w:rFonts w:ascii="Arial" w:hAnsi="Arial" w:cs="Arial"/>
          <w:lang w:val="fr-CH"/>
        </w:rPr>
        <w:t xml:space="preserve"> des 1. </w:t>
      </w:r>
      <w:r w:rsidRPr="00863130">
        <w:rPr>
          <w:rFonts w:ascii="Arial" w:hAnsi="Arial" w:cs="Arial"/>
        </w:rPr>
        <w:t xml:space="preserve">Bataillons des 691. </w:t>
      </w:r>
      <w:proofErr w:type="spellStart"/>
      <w:r w:rsidRPr="00863130">
        <w:rPr>
          <w:rFonts w:ascii="Arial" w:hAnsi="Arial" w:cs="Arial"/>
        </w:rPr>
        <w:t>lnfanterieregiments</w:t>
      </w:r>
      <w:proofErr w:type="spellEnd"/>
      <w:r w:rsidRPr="00863130">
        <w:rPr>
          <w:rFonts w:ascii="Arial" w:hAnsi="Arial" w:cs="Arial"/>
        </w:rPr>
        <w:t xml:space="preserve">, befahl deshalb Anfang Oktober 1941 seinen drei Kompanieführern Hermann Kuhls, Josef Sibille und Friedrich </w:t>
      </w:r>
      <w:proofErr w:type="spellStart"/>
      <w:r w:rsidRPr="00863130">
        <w:rPr>
          <w:rFonts w:ascii="Arial" w:hAnsi="Arial" w:cs="Arial"/>
        </w:rPr>
        <w:t>Nöll</w:t>
      </w:r>
      <w:proofErr w:type="spellEnd"/>
      <w:r w:rsidRPr="00863130">
        <w:rPr>
          <w:rFonts w:ascii="Arial" w:hAnsi="Arial" w:cs="Arial"/>
        </w:rPr>
        <w:t xml:space="preserve">, die gesamte jüdische Bevölkerung am jeweiligen Ort, wo die Kompanien stationiert waren, zu erschiessen. </w:t>
      </w:r>
    </w:p>
    <w:p w14:paraId="5DA749EA" w14:textId="77777777" w:rsidR="00863130" w:rsidRPr="00863130" w:rsidRDefault="00863130" w:rsidP="00863130">
      <w:pPr>
        <w:pStyle w:val="Aufzhlungszeichen"/>
        <w:tabs>
          <w:tab w:val="num" w:pos="284"/>
        </w:tabs>
        <w:spacing w:before="120" w:line="276" w:lineRule="auto"/>
        <w:rPr>
          <w:rFonts w:ascii="Arial" w:hAnsi="Arial" w:cs="Arial"/>
          <w:szCs w:val="24"/>
        </w:rPr>
      </w:pPr>
      <w:r w:rsidRPr="00863130">
        <w:rPr>
          <w:rFonts w:ascii="Arial" w:hAnsi="Arial" w:cs="Arial"/>
          <w:szCs w:val="24"/>
        </w:rPr>
        <w:t xml:space="preserve">Der Führer der 1. Kompanie, Oberleutnant </w:t>
      </w:r>
      <w:r w:rsidRPr="00863130">
        <w:rPr>
          <w:rFonts w:ascii="Arial" w:hAnsi="Arial" w:cs="Arial"/>
          <w:i/>
          <w:szCs w:val="24"/>
        </w:rPr>
        <w:t>Josef Sibille,</w:t>
      </w:r>
      <w:r w:rsidRPr="00863130">
        <w:rPr>
          <w:rFonts w:ascii="Arial" w:hAnsi="Arial" w:cs="Arial"/>
          <w:szCs w:val="24"/>
        </w:rPr>
        <w:t xml:space="preserve"> Jahrgang 1894, Lehrer, seit 1933 NSDAP-Mitglied, führte den Befehl nicht aus. Eine Verbindung zwischen Juden und Partisanen, so erklärte er dem Bataillonskommandanten, könne er nicht erkennen. Zudem bestehe die jüdische Bevölkerung in seinem Bereich nur noch aus alten Männern, Frauen und Kindern. Ein oder zwei Tage später erkundigte sich </w:t>
      </w:r>
      <w:proofErr w:type="spellStart"/>
      <w:r w:rsidRPr="00863130">
        <w:rPr>
          <w:rFonts w:ascii="Arial" w:hAnsi="Arial" w:cs="Arial"/>
          <w:szCs w:val="24"/>
        </w:rPr>
        <w:t>Commichau</w:t>
      </w:r>
      <w:proofErr w:type="spellEnd"/>
      <w:r w:rsidRPr="00863130">
        <w:rPr>
          <w:rFonts w:ascii="Arial" w:hAnsi="Arial" w:cs="Arial"/>
          <w:szCs w:val="24"/>
        </w:rPr>
        <w:t xml:space="preserve"> telefonisch, ob der Befehl inzwischen ausgeführt sei. Sibille verneinte. Auf die Frage </w:t>
      </w:r>
      <w:proofErr w:type="spellStart"/>
      <w:r w:rsidRPr="00863130">
        <w:rPr>
          <w:rFonts w:ascii="Arial" w:hAnsi="Arial" w:cs="Arial"/>
          <w:szCs w:val="24"/>
        </w:rPr>
        <w:t>Commichaus</w:t>
      </w:r>
      <w:proofErr w:type="spellEnd"/>
      <w:r w:rsidRPr="00863130">
        <w:rPr>
          <w:rFonts w:ascii="Arial" w:hAnsi="Arial" w:cs="Arial"/>
          <w:szCs w:val="24"/>
        </w:rPr>
        <w:t>, wann er ihn denn endlich ausführe, antwortete er: Nie.</w:t>
      </w:r>
    </w:p>
    <w:p w14:paraId="75CB8520" w14:textId="77777777" w:rsidR="00863130" w:rsidRPr="00863130" w:rsidRDefault="00863130" w:rsidP="00863130">
      <w:pPr>
        <w:pStyle w:val="Aufzhlungszeichen"/>
        <w:tabs>
          <w:tab w:val="num" w:pos="284"/>
        </w:tabs>
        <w:spacing w:before="120" w:line="276" w:lineRule="auto"/>
        <w:rPr>
          <w:rFonts w:ascii="Arial" w:hAnsi="Arial" w:cs="Arial"/>
          <w:szCs w:val="24"/>
        </w:rPr>
      </w:pPr>
      <w:r w:rsidRPr="00863130">
        <w:rPr>
          <w:rFonts w:ascii="Arial" w:hAnsi="Arial" w:cs="Arial"/>
          <w:szCs w:val="24"/>
        </w:rPr>
        <w:t xml:space="preserve">Oberleutnant </w:t>
      </w:r>
      <w:r w:rsidRPr="00863130">
        <w:rPr>
          <w:rFonts w:ascii="Arial" w:hAnsi="Arial" w:cs="Arial"/>
          <w:i/>
          <w:szCs w:val="24"/>
        </w:rPr>
        <w:t>Hermann Kuhls,</w:t>
      </w:r>
      <w:r w:rsidRPr="00863130">
        <w:rPr>
          <w:rFonts w:ascii="Arial" w:hAnsi="Arial" w:cs="Arial"/>
          <w:szCs w:val="24"/>
        </w:rPr>
        <w:t xml:space="preserve"> Führer der 2. Kompanie, zu diesem Zeitpunkt 33 Jahre alt, Mitglied der NSDAP und der SS, führte den Befehl offenbar ohne Zögern aus.</w:t>
      </w:r>
    </w:p>
    <w:p w14:paraId="1BBF04C7" w14:textId="5614D3D2" w:rsidR="00863130" w:rsidRPr="00863130" w:rsidRDefault="00863130" w:rsidP="00863130">
      <w:pPr>
        <w:pStyle w:val="Aufzhlungszeichen"/>
        <w:tabs>
          <w:tab w:val="num" w:pos="284"/>
        </w:tabs>
        <w:spacing w:before="120" w:line="276" w:lineRule="auto"/>
        <w:rPr>
          <w:rFonts w:ascii="Arial" w:hAnsi="Arial" w:cs="Arial"/>
          <w:szCs w:val="24"/>
        </w:rPr>
      </w:pPr>
      <w:r w:rsidRPr="00863130">
        <w:rPr>
          <w:rFonts w:ascii="Arial" w:hAnsi="Arial" w:cs="Arial"/>
          <w:szCs w:val="24"/>
        </w:rPr>
        <w:t xml:space="preserve">Der dritte Kompaniechef, Hauptmann </w:t>
      </w:r>
      <w:r w:rsidRPr="00863130">
        <w:rPr>
          <w:rFonts w:ascii="Arial" w:hAnsi="Arial" w:cs="Arial"/>
          <w:i/>
          <w:szCs w:val="24"/>
        </w:rPr>
        <w:t xml:space="preserve">Friedrich </w:t>
      </w:r>
      <w:proofErr w:type="spellStart"/>
      <w:r w:rsidRPr="00863130">
        <w:rPr>
          <w:rFonts w:ascii="Arial" w:hAnsi="Arial" w:cs="Arial"/>
          <w:i/>
          <w:szCs w:val="24"/>
        </w:rPr>
        <w:t>Nöll</w:t>
      </w:r>
      <w:proofErr w:type="spellEnd"/>
      <w:r w:rsidRPr="00863130">
        <w:rPr>
          <w:rFonts w:ascii="Arial" w:hAnsi="Arial" w:cs="Arial"/>
          <w:i/>
          <w:szCs w:val="24"/>
        </w:rPr>
        <w:t>,</w:t>
      </w:r>
      <w:r w:rsidRPr="00863130">
        <w:rPr>
          <w:rFonts w:ascii="Arial" w:hAnsi="Arial" w:cs="Arial"/>
          <w:szCs w:val="24"/>
        </w:rPr>
        <w:t xml:space="preserve"> Jahrgang 1897, Lehrer, zögerte. Er besprach den Befehl mit seinem Hauptfeldwebel Emil Zimber. Ihnen war klar, dass sie auch Frauen und Kinder </w:t>
      </w:r>
      <w:proofErr w:type="spellStart"/>
      <w:r w:rsidRPr="00863130">
        <w:rPr>
          <w:rFonts w:ascii="Arial" w:hAnsi="Arial" w:cs="Arial"/>
          <w:szCs w:val="24"/>
        </w:rPr>
        <w:t>erschiessen</w:t>
      </w:r>
      <w:proofErr w:type="spellEnd"/>
      <w:r w:rsidRPr="00863130">
        <w:rPr>
          <w:rFonts w:ascii="Arial" w:hAnsi="Arial" w:cs="Arial"/>
          <w:szCs w:val="24"/>
        </w:rPr>
        <w:t xml:space="preserve"> lassen müssen, obwohl die jüdische Bevölkerung von </w:t>
      </w:r>
      <w:proofErr w:type="spellStart"/>
      <w:r w:rsidRPr="00863130">
        <w:rPr>
          <w:rFonts w:ascii="Arial" w:hAnsi="Arial" w:cs="Arial"/>
          <w:szCs w:val="24"/>
        </w:rPr>
        <w:t>Krutscha</w:t>
      </w:r>
      <w:proofErr w:type="spellEnd"/>
      <w:r w:rsidRPr="00863130">
        <w:rPr>
          <w:rFonts w:ascii="Arial" w:hAnsi="Arial" w:cs="Arial"/>
          <w:szCs w:val="24"/>
        </w:rPr>
        <w:t xml:space="preserve">, einem Dorf mit etwa 1'000 Menschen, kaum etwas mit Partisanen zu tun hatte. Sie baten um eine schriftliche Bestätigung des Auftrags. Wenig später erreichte sie dieser Befehl: Die Juden in </w:t>
      </w:r>
      <w:proofErr w:type="spellStart"/>
      <w:r w:rsidRPr="00863130">
        <w:rPr>
          <w:rFonts w:ascii="Arial" w:hAnsi="Arial" w:cs="Arial"/>
          <w:szCs w:val="24"/>
        </w:rPr>
        <w:t>Krutscha</w:t>
      </w:r>
      <w:proofErr w:type="spellEnd"/>
      <w:r w:rsidRPr="00863130">
        <w:rPr>
          <w:rFonts w:ascii="Arial" w:hAnsi="Arial" w:cs="Arial"/>
          <w:szCs w:val="24"/>
        </w:rPr>
        <w:t xml:space="preserve"> seien zu </w:t>
      </w:r>
      <w:proofErr w:type="spellStart"/>
      <w:r w:rsidRPr="00863130">
        <w:rPr>
          <w:rFonts w:ascii="Arial" w:hAnsi="Arial" w:cs="Arial"/>
          <w:szCs w:val="24"/>
        </w:rPr>
        <w:t>erschiessen</w:t>
      </w:r>
      <w:proofErr w:type="spellEnd"/>
      <w:r w:rsidRPr="00863130">
        <w:rPr>
          <w:rFonts w:ascii="Arial" w:hAnsi="Arial" w:cs="Arial"/>
          <w:szCs w:val="24"/>
        </w:rPr>
        <w:t xml:space="preserve">. </w:t>
      </w:r>
      <w:proofErr w:type="spellStart"/>
      <w:r w:rsidRPr="00863130">
        <w:rPr>
          <w:rFonts w:ascii="Arial" w:hAnsi="Arial" w:cs="Arial"/>
          <w:szCs w:val="24"/>
        </w:rPr>
        <w:t>Nöll</w:t>
      </w:r>
      <w:proofErr w:type="spellEnd"/>
      <w:r w:rsidRPr="00863130">
        <w:rPr>
          <w:rFonts w:ascii="Arial" w:hAnsi="Arial" w:cs="Arial"/>
          <w:szCs w:val="24"/>
        </w:rPr>
        <w:t xml:space="preserve"> wehrte zunächst ab, dann siegte die Furcht vor den möglichen Folgen einer Befehlsverweigerung. Er befahl Zimber, sämtliche Juden des Ortes zu </w:t>
      </w:r>
      <w:proofErr w:type="spellStart"/>
      <w:r w:rsidRPr="00863130">
        <w:rPr>
          <w:rFonts w:ascii="Arial" w:hAnsi="Arial" w:cs="Arial"/>
          <w:szCs w:val="24"/>
        </w:rPr>
        <w:t>erschiessen</w:t>
      </w:r>
      <w:proofErr w:type="spellEnd"/>
      <w:r w:rsidRPr="00863130">
        <w:rPr>
          <w:rFonts w:ascii="Arial" w:hAnsi="Arial" w:cs="Arial"/>
          <w:szCs w:val="24"/>
        </w:rPr>
        <w:t xml:space="preserve">. Der Unruhe unter den Soldaten wegen des Mordbefehls begegnete Zimber mit der Begründung, dass die ganze Sache von höherer Stelle entschieden sei. Befehl sei eben Befehl. Am 10. Oktober 1941 wurden die Juden aus </w:t>
      </w:r>
      <w:proofErr w:type="spellStart"/>
      <w:r w:rsidRPr="00863130">
        <w:rPr>
          <w:rFonts w:ascii="Arial" w:hAnsi="Arial" w:cs="Arial"/>
          <w:szCs w:val="24"/>
        </w:rPr>
        <w:t>Krutscha</w:t>
      </w:r>
      <w:proofErr w:type="spellEnd"/>
      <w:r w:rsidRPr="00863130">
        <w:rPr>
          <w:rFonts w:ascii="Arial" w:hAnsi="Arial" w:cs="Arial"/>
          <w:szCs w:val="24"/>
        </w:rPr>
        <w:t xml:space="preserve"> – zwischen 60 und 250 Menschen – von Soldaten der 3. Kompanie und einheimischen Hilfspolizisten aus den Häusern geholt, zusammengetrieben, an einen Graben </w:t>
      </w:r>
      <w:proofErr w:type="spellStart"/>
      <w:r w:rsidRPr="00863130">
        <w:rPr>
          <w:rFonts w:ascii="Arial" w:hAnsi="Arial" w:cs="Arial"/>
          <w:szCs w:val="24"/>
        </w:rPr>
        <w:t>ausserhalb</w:t>
      </w:r>
      <w:proofErr w:type="spellEnd"/>
      <w:r w:rsidRPr="00863130">
        <w:rPr>
          <w:rFonts w:ascii="Arial" w:hAnsi="Arial" w:cs="Arial"/>
          <w:szCs w:val="24"/>
        </w:rPr>
        <w:t xml:space="preserve"> der Stadt geführt und dort erschossen. Während der </w:t>
      </w:r>
      <w:proofErr w:type="spellStart"/>
      <w:r w:rsidRPr="00863130">
        <w:rPr>
          <w:rFonts w:ascii="Arial" w:hAnsi="Arial" w:cs="Arial"/>
          <w:szCs w:val="24"/>
        </w:rPr>
        <w:t>Erschiessung</w:t>
      </w:r>
      <w:proofErr w:type="spellEnd"/>
      <w:r w:rsidRPr="00863130">
        <w:rPr>
          <w:rFonts w:ascii="Arial" w:hAnsi="Arial" w:cs="Arial"/>
          <w:szCs w:val="24"/>
        </w:rPr>
        <w:t xml:space="preserve"> kam es zu einem Zwischenfall. Nach eigenen Angaben schloss der dem Kommando zugeteilte Gefreite Wilhelm </w:t>
      </w:r>
      <w:proofErr w:type="spellStart"/>
      <w:r w:rsidRPr="00863130">
        <w:rPr>
          <w:rFonts w:ascii="Arial" w:hAnsi="Arial" w:cs="Arial"/>
          <w:szCs w:val="24"/>
        </w:rPr>
        <w:t>Magel</w:t>
      </w:r>
      <w:proofErr w:type="spellEnd"/>
      <w:r w:rsidRPr="00863130">
        <w:rPr>
          <w:rFonts w:ascii="Arial" w:hAnsi="Arial" w:cs="Arial"/>
          <w:szCs w:val="24"/>
        </w:rPr>
        <w:t xml:space="preserve"> beim </w:t>
      </w:r>
      <w:proofErr w:type="spellStart"/>
      <w:r w:rsidRPr="00863130">
        <w:rPr>
          <w:rFonts w:ascii="Arial" w:hAnsi="Arial" w:cs="Arial"/>
          <w:szCs w:val="24"/>
        </w:rPr>
        <w:t>Schiessen</w:t>
      </w:r>
      <w:proofErr w:type="spellEnd"/>
      <w:r w:rsidRPr="00863130">
        <w:rPr>
          <w:rFonts w:ascii="Arial" w:hAnsi="Arial" w:cs="Arial"/>
          <w:szCs w:val="24"/>
        </w:rPr>
        <w:t xml:space="preserve"> die Augen, so dass er vermutlich sein Opfer verfehlte. Jedenfalls waren nicht alle Juden tot. </w:t>
      </w:r>
      <w:proofErr w:type="spellStart"/>
      <w:r w:rsidRPr="00863130">
        <w:rPr>
          <w:rFonts w:ascii="Arial" w:hAnsi="Arial" w:cs="Arial"/>
          <w:szCs w:val="24"/>
        </w:rPr>
        <w:t>Magel</w:t>
      </w:r>
      <w:proofErr w:type="spellEnd"/>
      <w:r w:rsidRPr="00863130">
        <w:rPr>
          <w:rFonts w:ascii="Arial" w:hAnsi="Arial" w:cs="Arial"/>
          <w:szCs w:val="24"/>
        </w:rPr>
        <w:t xml:space="preserve"> wurde daraufhin zur Bewachung abkommandiert, die </w:t>
      </w:r>
      <w:proofErr w:type="spellStart"/>
      <w:r w:rsidRPr="00863130">
        <w:rPr>
          <w:rFonts w:ascii="Arial" w:hAnsi="Arial" w:cs="Arial"/>
          <w:szCs w:val="24"/>
        </w:rPr>
        <w:t>Erschiessung</w:t>
      </w:r>
      <w:proofErr w:type="spellEnd"/>
      <w:r w:rsidRPr="00863130">
        <w:rPr>
          <w:rFonts w:ascii="Arial" w:hAnsi="Arial" w:cs="Arial"/>
          <w:szCs w:val="24"/>
        </w:rPr>
        <w:t xml:space="preserve"> fortgesetzt.</w:t>
      </w:r>
    </w:p>
    <w:p w14:paraId="0A270C5B" w14:textId="77777777" w:rsidR="00863130" w:rsidRPr="00863130" w:rsidRDefault="00863130" w:rsidP="00863130">
      <w:pPr>
        <w:spacing w:before="120" w:line="276" w:lineRule="auto"/>
        <w:rPr>
          <w:rFonts w:ascii="Arial" w:hAnsi="Arial" w:cs="Arial"/>
        </w:rPr>
      </w:pPr>
    </w:p>
    <w:p w14:paraId="4FC1873E" w14:textId="3723F36F" w:rsidR="0068599B" w:rsidRDefault="00863130" w:rsidP="00863130">
      <w:pPr>
        <w:spacing w:before="120" w:line="276" w:lineRule="auto"/>
        <w:rPr>
          <w:rFonts w:ascii="Arial" w:hAnsi="Arial" w:cs="Arial"/>
        </w:rPr>
      </w:pPr>
      <w:r w:rsidRPr="00863130">
        <w:rPr>
          <w:rFonts w:ascii="Arial" w:hAnsi="Arial" w:cs="Arial"/>
        </w:rPr>
        <w:t xml:space="preserve">Der Bataillonskommandant </w:t>
      </w:r>
      <w:proofErr w:type="spellStart"/>
      <w:r w:rsidRPr="00863130">
        <w:rPr>
          <w:rFonts w:ascii="Arial" w:hAnsi="Arial" w:cs="Arial"/>
        </w:rPr>
        <w:t>Commichau</w:t>
      </w:r>
      <w:proofErr w:type="spellEnd"/>
      <w:r w:rsidRPr="00863130">
        <w:rPr>
          <w:rFonts w:ascii="Arial" w:hAnsi="Arial" w:cs="Arial"/>
        </w:rPr>
        <w:t xml:space="preserve"> und der Kompanieführer Kuhls fielen. Weil </w:t>
      </w:r>
      <w:proofErr w:type="spellStart"/>
      <w:r w:rsidRPr="00863130">
        <w:rPr>
          <w:rFonts w:ascii="Arial" w:hAnsi="Arial" w:cs="Arial"/>
        </w:rPr>
        <w:t>Magels</w:t>
      </w:r>
      <w:proofErr w:type="spellEnd"/>
      <w:r w:rsidRPr="00863130">
        <w:rPr>
          <w:rFonts w:ascii="Arial" w:hAnsi="Arial" w:cs="Arial"/>
        </w:rPr>
        <w:t xml:space="preserve"> Ex-Frau diesen denunzierte, kam die Sache nach dem Krieg ans Licht. Hauptmann </w:t>
      </w:r>
      <w:proofErr w:type="spellStart"/>
      <w:r w:rsidRPr="00863130">
        <w:rPr>
          <w:rFonts w:ascii="Arial" w:hAnsi="Arial" w:cs="Arial"/>
        </w:rPr>
        <w:t>Nöll</w:t>
      </w:r>
      <w:proofErr w:type="spellEnd"/>
      <w:r w:rsidRPr="00863130">
        <w:rPr>
          <w:rFonts w:ascii="Arial" w:hAnsi="Arial" w:cs="Arial"/>
        </w:rPr>
        <w:t xml:space="preserve"> und Hauptfeldwebel Zimber wurden 1953 in Deutschland angeklagt und zu vier bzw. drei Jahren Haft verurteilt. Den Gefreiten </w:t>
      </w:r>
      <w:proofErr w:type="spellStart"/>
      <w:r w:rsidRPr="00863130">
        <w:rPr>
          <w:rFonts w:ascii="Arial" w:hAnsi="Arial" w:cs="Arial"/>
        </w:rPr>
        <w:t>Magel</w:t>
      </w:r>
      <w:proofErr w:type="spellEnd"/>
      <w:r w:rsidRPr="00863130">
        <w:rPr>
          <w:rFonts w:ascii="Arial" w:hAnsi="Arial" w:cs="Arial"/>
        </w:rPr>
        <w:t xml:space="preserve"> sprach das Gericht frei. </w:t>
      </w:r>
      <w:r w:rsidR="00285673">
        <w:rPr>
          <w:rFonts w:ascii="Arial" w:hAnsi="Arial" w:cs="Arial"/>
        </w:rPr>
        <w:br/>
      </w:r>
    </w:p>
    <w:p w14:paraId="475EB6BC" w14:textId="44DF90C4" w:rsidR="00863130" w:rsidRPr="00863130" w:rsidRDefault="00863130" w:rsidP="00863130">
      <w:pPr>
        <w:spacing w:before="120" w:line="276" w:lineRule="auto"/>
        <w:rPr>
          <w:rFonts w:ascii="Arial" w:hAnsi="Arial" w:cs="Arial"/>
        </w:rPr>
      </w:pPr>
      <w:r w:rsidRPr="00863130">
        <w:rPr>
          <w:rFonts w:ascii="Arial" w:hAnsi="Arial" w:cs="Arial"/>
        </w:rPr>
        <w:t xml:space="preserve">Aussage Josef Sibille, 1953: </w:t>
      </w:r>
    </w:p>
    <w:p w14:paraId="5004A2CA" w14:textId="719FC9F1" w:rsidR="00863130" w:rsidRPr="00863130" w:rsidRDefault="00863130" w:rsidP="00863130">
      <w:pPr>
        <w:spacing w:before="120" w:line="276" w:lineRule="auto"/>
        <w:rPr>
          <w:rFonts w:ascii="Arial" w:hAnsi="Arial" w:cs="Arial"/>
        </w:rPr>
      </w:pPr>
      <w:r w:rsidRPr="00863130">
        <w:rPr>
          <w:rFonts w:ascii="Arial" w:hAnsi="Arial" w:cs="Arial"/>
        </w:rPr>
        <w:t>«Ich selbst erhielt gegen 6. oder 7. Oktober von meinem Bataillonskommandanten in telefonischem Anruf den Auftrag, in meinem Kompaniebereich, der damals ziemlich ausgedehnt war, die Judenaktion durchzuführen und diese Durchführung zu melden. Gemeint war die E</w:t>
      </w:r>
      <w:r w:rsidR="00E2186F">
        <w:rPr>
          <w:rFonts w:ascii="Arial" w:hAnsi="Arial" w:cs="Arial"/>
        </w:rPr>
        <w:t>r</w:t>
      </w:r>
      <w:r w:rsidRPr="00863130">
        <w:rPr>
          <w:rFonts w:ascii="Arial" w:hAnsi="Arial" w:cs="Arial"/>
        </w:rPr>
        <w:t xml:space="preserve">schiessung oder Beseitigung aller Juden. Mir hat der Auftrag aufgeregte Stunden und eine schlaflose Nacht bereitet; dann stand mein Entschluss fest. Ich habe meinem Kommandeur auf wiederholte dringende Anrufe erklärt, dass meine Kompanie keine Juden erschiessen werde, es sei denn, dass der Jude bei Partisanen als Gegner </w:t>
      </w:r>
      <w:r w:rsidRPr="00863130">
        <w:rPr>
          <w:rFonts w:ascii="Arial" w:hAnsi="Arial" w:cs="Arial"/>
        </w:rPr>
        <w:lastRenderedPageBreak/>
        <w:t>angetroffen werde. Ich könne es anständigen deutschen Soldaten nicht zumuten, sich an solchen Dingen die Hände zu beschmutzen.</w:t>
      </w:r>
      <w:r w:rsidR="0088294D">
        <w:rPr>
          <w:rFonts w:ascii="Arial" w:hAnsi="Arial" w:cs="Arial"/>
        </w:rPr>
        <w:t xml:space="preserve"> </w:t>
      </w:r>
      <w:r w:rsidRPr="00863130">
        <w:rPr>
          <w:rFonts w:ascii="Arial" w:hAnsi="Arial" w:cs="Arial"/>
        </w:rPr>
        <w:t>Als Folge meines Verhaltens wurde mir später bekannt, dass ich als ‹zu weich› beurteilt wurde.»</w:t>
      </w:r>
      <w:r w:rsidR="00285673">
        <w:rPr>
          <w:rFonts w:ascii="Arial" w:hAnsi="Arial" w:cs="Arial"/>
        </w:rPr>
        <w:br/>
      </w:r>
    </w:p>
    <w:p w14:paraId="5CE5FA7F" w14:textId="77777777" w:rsidR="00863130" w:rsidRPr="00863130" w:rsidRDefault="00863130" w:rsidP="00863130">
      <w:pPr>
        <w:spacing w:before="120" w:line="276" w:lineRule="auto"/>
        <w:rPr>
          <w:rFonts w:ascii="Arial" w:hAnsi="Arial" w:cs="Arial"/>
        </w:rPr>
      </w:pPr>
      <w:r w:rsidRPr="00863130">
        <w:rPr>
          <w:rFonts w:ascii="Arial" w:hAnsi="Arial" w:cs="Arial"/>
        </w:rPr>
        <w:t xml:space="preserve">Aussage Friedrich </w:t>
      </w:r>
      <w:proofErr w:type="spellStart"/>
      <w:r w:rsidRPr="00863130">
        <w:rPr>
          <w:rFonts w:ascii="Arial" w:hAnsi="Arial" w:cs="Arial"/>
        </w:rPr>
        <w:t>Nöll</w:t>
      </w:r>
      <w:proofErr w:type="spellEnd"/>
      <w:r w:rsidRPr="00863130">
        <w:rPr>
          <w:rFonts w:ascii="Arial" w:hAnsi="Arial" w:cs="Arial"/>
        </w:rPr>
        <w:t>, 1952:</w:t>
      </w:r>
    </w:p>
    <w:p w14:paraId="709857C4" w14:textId="25F1CAB6" w:rsidR="00863130" w:rsidRPr="00863130" w:rsidRDefault="00863130" w:rsidP="00863130">
      <w:pPr>
        <w:spacing w:before="120" w:line="276" w:lineRule="auto"/>
        <w:rPr>
          <w:rFonts w:ascii="Arial" w:hAnsi="Arial" w:cs="Arial"/>
        </w:rPr>
      </w:pPr>
      <w:r w:rsidRPr="00863130">
        <w:rPr>
          <w:rFonts w:ascii="Arial" w:hAnsi="Arial" w:cs="Arial"/>
        </w:rPr>
        <w:t xml:space="preserve">«Anders wäre es wohl geworden, wenn der Befehl geschlossen an mich persönlich gegeben worden wäre. Aber so kannten ihn Teile der Kompanie schon vor mir, die Unterführer hatten ihn alle erfahren. Ich hätte nun, die Ausführung eines von einer vorgesetzten Dienststelle gegebenen Befehls verbieten müssen. Das wäre Meuterei oder </w:t>
      </w:r>
      <w:proofErr w:type="spellStart"/>
      <w:r w:rsidRPr="00863130">
        <w:rPr>
          <w:rFonts w:ascii="Arial" w:hAnsi="Arial" w:cs="Arial"/>
        </w:rPr>
        <w:t>Anzettelung</w:t>
      </w:r>
      <w:proofErr w:type="spellEnd"/>
      <w:r w:rsidRPr="00863130">
        <w:rPr>
          <w:rFonts w:ascii="Arial" w:hAnsi="Arial" w:cs="Arial"/>
        </w:rPr>
        <w:t xml:space="preserve"> dazu gewesen, obendrein Zersetzung der Wehrkraft mit allen sich daraus ergebenden Folgen, ein im Jahre 1941 unausdenkbares soldatisches Verbrechen.» </w:t>
      </w:r>
      <w:r w:rsidR="00285673">
        <w:rPr>
          <w:rFonts w:ascii="Arial" w:hAnsi="Arial" w:cs="Arial"/>
        </w:rPr>
        <w:br/>
      </w:r>
    </w:p>
    <w:p w14:paraId="1F6BF550" w14:textId="77777777" w:rsidR="00863130" w:rsidRPr="00863130" w:rsidRDefault="00863130" w:rsidP="00863130">
      <w:pPr>
        <w:spacing w:before="120" w:line="276" w:lineRule="auto"/>
        <w:rPr>
          <w:rFonts w:ascii="Arial" w:hAnsi="Arial" w:cs="Arial"/>
        </w:rPr>
      </w:pPr>
      <w:r w:rsidRPr="00863130">
        <w:rPr>
          <w:rFonts w:ascii="Arial" w:hAnsi="Arial" w:cs="Arial"/>
        </w:rPr>
        <w:t>Aussage Emil Zimber, 1952:</w:t>
      </w:r>
    </w:p>
    <w:p w14:paraId="20A37BBC" w14:textId="6B0B46BE" w:rsidR="00863130" w:rsidRPr="00863130" w:rsidRDefault="00863130" w:rsidP="00863130">
      <w:pPr>
        <w:spacing w:before="120" w:line="276" w:lineRule="auto"/>
        <w:rPr>
          <w:rFonts w:ascii="Arial" w:hAnsi="Arial" w:cs="Arial"/>
        </w:rPr>
      </w:pPr>
      <w:r w:rsidRPr="00863130">
        <w:rPr>
          <w:rFonts w:ascii="Arial" w:hAnsi="Arial" w:cs="Arial"/>
        </w:rPr>
        <w:t>«Dass es sich hierbei um eine ungesetzliche Massnahme handelte, war uns allen klar, denn wir wussten, dass diese Juden sich nichts zu Schulden hatten kommen lassen. Wenn einer von uns oder wir alle uns widersetzt und den Befehl nicht ausgeführt hätten, hätten wir mit Sicherheit damit rechnen müssen, dass wir alle oder einzelne von uns in 24 Stunden selbst wegen Befehlsverweigerung erschossen worden wären. In diesem Notstand habe ich, genau wie alle anderen Soldaten, gehandelt.»</w:t>
      </w:r>
      <w:r w:rsidR="00285673">
        <w:rPr>
          <w:rFonts w:ascii="Arial" w:hAnsi="Arial" w:cs="Arial"/>
        </w:rPr>
        <w:br/>
      </w:r>
    </w:p>
    <w:p w14:paraId="3ACEB0B7" w14:textId="77777777" w:rsidR="00863130" w:rsidRPr="00863130" w:rsidRDefault="00863130" w:rsidP="00863130">
      <w:pPr>
        <w:spacing w:before="120" w:line="276" w:lineRule="auto"/>
        <w:rPr>
          <w:rFonts w:ascii="Arial" w:hAnsi="Arial" w:cs="Arial"/>
        </w:rPr>
      </w:pPr>
      <w:r w:rsidRPr="00863130">
        <w:rPr>
          <w:rFonts w:ascii="Arial" w:hAnsi="Arial" w:cs="Arial"/>
        </w:rPr>
        <w:t>Urteil des Landgerichts Darmstadt vom 8.5.1954:</w:t>
      </w:r>
    </w:p>
    <w:p w14:paraId="07BE34CF" w14:textId="77777777" w:rsidR="00863130" w:rsidRPr="00863130" w:rsidRDefault="00863130" w:rsidP="00863130">
      <w:pPr>
        <w:spacing w:before="120" w:line="276" w:lineRule="auto"/>
        <w:rPr>
          <w:rFonts w:ascii="Arial" w:hAnsi="Arial" w:cs="Arial"/>
        </w:rPr>
      </w:pPr>
      <w:r w:rsidRPr="00863130">
        <w:rPr>
          <w:rFonts w:ascii="Arial" w:hAnsi="Arial" w:cs="Arial"/>
        </w:rPr>
        <w:t>«Es wäre deshalb Pflicht des Angeklagten [</w:t>
      </w:r>
      <w:proofErr w:type="spellStart"/>
      <w:r w:rsidRPr="00863130">
        <w:rPr>
          <w:rFonts w:ascii="Arial" w:hAnsi="Arial" w:cs="Arial"/>
        </w:rPr>
        <w:t>Nöll</w:t>
      </w:r>
      <w:proofErr w:type="spellEnd"/>
      <w:r w:rsidRPr="00863130">
        <w:rPr>
          <w:rFonts w:ascii="Arial" w:hAnsi="Arial" w:cs="Arial"/>
        </w:rPr>
        <w:t xml:space="preserve">] gewesen, die Ausführung dieses von ihm als verbrecherisch erkannten Befehls zu verweigern. [...] Auch auf das Vorliegen eines Befehlsnotstands nach § 54 StGB. [Strafgesetzbuch] kann der Angeklagte </w:t>
      </w:r>
      <w:proofErr w:type="spellStart"/>
      <w:r w:rsidRPr="00863130">
        <w:rPr>
          <w:rFonts w:ascii="Arial" w:hAnsi="Arial" w:cs="Arial"/>
        </w:rPr>
        <w:t>Nöll</w:t>
      </w:r>
      <w:proofErr w:type="spellEnd"/>
      <w:r w:rsidRPr="00863130">
        <w:rPr>
          <w:rFonts w:ascii="Arial" w:hAnsi="Arial" w:cs="Arial"/>
        </w:rPr>
        <w:t xml:space="preserve"> sich nicht berufen. [...] Er befand sich keineswegs in einer Lage, aus der es keinen anderen Ausweg gab als die Ausführung des Erschiessungsbefehls. Da ihm für die Durchführung des Befehls keine Frist gesetzt war, hatte er zunächst Zeit, um Überlegungen anstellen zu können, welche Schritte er zur Abwendung der Durchführung des von ihm als verbrecherisch erkannten Befehls tun könne. Es konnte und musste von ihm verlangt werden, dass er bei dem Bataillonskommandeur Gegenvorstellungen erhob, indem er unter Hinweis auf den bestehenden Geheimbefehl über Partisanenbekämpfung und die </w:t>
      </w:r>
      <w:proofErr w:type="gramStart"/>
      <w:r w:rsidRPr="00863130">
        <w:rPr>
          <w:rFonts w:ascii="Arial" w:hAnsi="Arial" w:cs="Arial"/>
        </w:rPr>
        <w:t>in diesem aufgestellten Voraussetzungen</w:t>
      </w:r>
      <w:proofErr w:type="gramEnd"/>
      <w:r w:rsidRPr="00863130">
        <w:rPr>
          <w:rFonts w:ascii="Arial" w:hAnsi="Arial" w:cs="Arial"/>
        </w:rPr>
        <w:t xml:space="preserve"> für Erschiessungen ohne Verfahren darlegte, dass diese Voraussetzung bei der jüdischen Bevölkerung der Ortsunterkunft nicht gegeben sind und darauf bestand, dass ihm die Gründe für den erteilten Befehl angegeben würden.»</w:t>
      </w:r>
    </w:p>
    <w:p w14:paraId="44C5A280" w14:textId="1419BDC3" w:rsidR="00863130" w:rsidRPr="0068599B" w:rsidRDefault="00863130" w:rsidP="00863130">
      <w:pPr>
        <w:pStyle w:val="Textkrper3"/>
        <w:spacing w:before="120" w:line="276" w:lineRule="auto"/>
        <w:rPr>
          <w:rFonts w:ascii="Arial" w:hAnsi="Arial" w:cs="Arial"/>
          <w:i/>
          <w:iCs/>
        </w:rPr>
      </w:pPr>
      <w:r w:rsidRPr="0068599B">
        <w:rPr>
          <w:rFonts w:ascii="Arial" w:hAnsi="Arial" w:cs="Arial"/>
          <w:i/>
          <w:iCs/>
        </w:rPr>
        <w:t xml:space="preserve">Texte </w:t>
      </w:r>
      <w:r w:rsidR="00A27A30">
        <w:rPr>
          <w:rFonts w:ascii="Arial" w:hAnsi="Arial" w:cs="Arial"/>
          <w:i/>
          <w:iCs/>
        </w:rPr>
        <w:t>nach</w:t>
      </w:r>
      <w:r w:rsidRPr="0068599B">
        <w:rPr>
          <w:rFonts w:ascii="Arial" w:hAnsi="Arial" w:cs="Arial"/>
          <w:i/>
          <w:iCs/>
        </w:rPr>
        <w:t>: Hamburger Institut für Sozialforschung (</w:t>
      </w:r>
      <w:proofErr w:type="spellStart"/>
      <w:r w:rsidRPr="0068599B">
        <w:rPr>
          <w:rFonts w:ascii="Arial" w:hAnsi="Arial" w:cs="Arial"/>
          <w:i/>
          <w:iCs/>
        </w:rPr>
        <w:t>Hsg</w:t>
      </w:r>
      <w:proofErr w:type="spellEnd"/>
      <w:r w:rsidRPr="0068599B">
        <w:rPr>
          <w:rFonts w:ascii="Arial" w:hAnsi="Arial" w:cs="Arial"/>
          <w:i/>
          <w:iCs/>
        </w:rPr>
        <w:t>.): Verbrechen der Wehrmacht. Dimensionen des Vernichtungskrieges 1941–1944. Ausstellungskatalog. Hamburg 2002. 580–583</w:t>
      </w:r>
    </w:p>
    <w:p w14:paraId="7279C74C" w14:textId="77777777" w:rsidR="0068599B" w:rsidRDefault="0068599B" w:rsidP="00863130">
      <w:pPr>
        <w:spacing w:before="120" w:line="276" w:lineRule="auto"/>
        <w:rPr>
          <w:rFonts w:ascii="Arial" w:hAnsi="Arial" w:cs="Arial"/>
        </w:rPr>
      </w:pPr>
    </w:p>
    <w:p w14:paraId="7E73A0B7" w14:textId="0F1D4F59" w:rsidR="0068599B" w:rsidRDefault="00863130" w:rsidP="00863130">
      <w:pPr>
        <w:spacing w:before="120" w:line="276" w:lineRule="auto"/>
        <w:rPr>
          <w:rFonts w:ascii="Arial" w:hAnsi="Arial" w:cs="Arial"/>
        </w:rPr>
      </w:pPr>
      <w:r w:rsidRPr="00863130">
        <w:rPr>
          <w:rFonts w:ascii="Arial" w:hAnsi="Arial" w:cs="Arial"/>
        </w:rPr>
        <w:t xml:space="preserve">Sibille, Kuhls oder </w:t>
      </w:r>
      <w:proofErr w:type="spellStart"/>
      <w:r w:rsidRPr="00863130">
        <w:rPr>
          <w:rFonts w:ascii="Arial" w:hAnsi="Arial" w:cs="Arial"/>
        </w:rPr>
        <w:t>Nöll</w:t>
      </w:r>
      <w:proofErr w:type="spellEnd"/>
      <w:r w:rsidRPr="00863130">
        <w:rPr>
          <w:rFonts w:ascii="Arial" w:hAnsi="Arial" w:cs="Arial"/>
        </w:rPr>
        <w:t>: Welche Haltung unterscheidet die drei Kommandanten? Was lässt sich über den Erfolg der drei Haltungen sagen? Wie würden heute, unabhängig von der anstehenden Entscheidung, die drei Haltungen bewertet?</w:t>
      </w:r>
      <w:r w:rsidRPr="00863130">
        <w:rPr>
          <w:rFonts w:ascii="Arial" w:hAnsi="Arial" w:cs="Arial"/>
        </w:rPr>
        <w:br w:type="page"/>
      </w:r>
    </w:p>
    <w:p w14:paraId="7FBB3C40" w14:textId="77777777" w:rsidR="0068599B" w:rsidRDefault="0068599B" w:rsidP="00863130">
      <w:pPr>
        <w:spacing w:before="120" w:line="276" w:lineRule="auto"/>
        <w:rPr>
          <w:rFonts w:ascii="Arial" w:hAnsi="Arial" w:cs="Arial"/>
        </w:rPr>
      </w:pPr>
    </w:p>
    <w:p w14:paraId="56ADFBF6" w14:textId="34E9930D" w:rsidR="00863130" w:rsidRPr="00863130" w:rsidRDefault="00863130" w:rsidP="00863130">
      <w:pPr>
        <w:spacing w:before="120" w:line="276" w:lineRule="auto"/>
        <w:rPr>
          <w:rFonts w:ascii="Arial" w:hAnsi="Arial" w:cs="Arial"/>
          <w:b/>
        </w:rPr>
      </w:pPr>
      <w:r w:rsidRPr="00863130">
        <w:rPr>
          <w:rFonts w:ascii="Arial" w:hAnsi="Arial" w:cs="Arial"/>
          <w:b/>
        </w:rPr>
        <w:t>Erläuterungen</w:t>
      </w:r>
    </w:p>
    <w:p w14:paraId="6BA8012E" w14:textId="1BE9C656" w:rsidR="00863130" w:rsidRPr="00863130" w:rsidRDefault="00863130" w:rsidP="00863130">
      <w:pPr>
        <w:spacing w:before="120" w:line="276" w:lineRule="auto"/>
        <w:rPr>
          <w:rFonts w:ascii="Arial" w:hAnsi="Arial" w:cs="Arial"/>
          <w:b/>
        </w:rPr>
      </w:pPr>
      <w:r w:rsidRPr="00863130">
        <w:rPr>
          <w:rFonts w:ascii="Arial" w:hAnsi="Arial" w:cs="Arial"/>
          <w:bCs/>
          <w:noProof/>
        </w:rPr>
        <mc:AlternateContent>
          <mc:Choice Requires="wps">
            <w:drawing>
              <wp:anchor distT="0" distB="0" distL="114300" distR="114300" simplePos="0" relativeHeight="251661312" behindDoc="0" locked="0" layoutInCell="1" allowOverlap="1" wp14:anchorId="22329812" wp14:editId="4289E4A0">
                <wp:simplePos x="0" y="0"/>
                <wp:positionH relativeFrom="column">
                  <wp:posOffset>7473788</wp:posOffset>
                </wp:positionH>
                <wp:positionV relativeFrom="paragraph">
                  <wp:posOffset>26213</wp:posOffset>
                </wp:positionV>
                <wp:extent cx="108000" cy="10800000"/>
                <wp:effectExtent l="0" t="0" r="635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38DB05" w14:textId="77777777" w:rsidR="00863130" w:rsidRDefault="00863130" w:rsidP="008631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29812" id="Text Box 4" o:spid="_x0000_s1028" type="#_x0000_t202" style="position:absolute;margin-left:588.5pt;margin-top:2.05pt;width:8.5pt;height:8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cZAC4gEAALs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" fillcolor="silver" stroked="f">
                <v:path arrowok="t"/>
                <v:textbox>
                  <w:txbxContent>
                    <w:p w14:paraId="6638DB05" w14:textId="77777777" w:rsidR="00863130" w:rsidRDefault="00863130" w:rsidP="00863130"/>
                  </w:txbxContent>
                </v:textbox>
              </v:shape>
            </w:pict>
          </mc:Fallback>
        </mc:AlternateContent>
      </w:r>
    </w:p>
    <w:p w14:paraId="2742225F" w14:textId="77777777" w:rsidR="00863130" w:rsidRPr="00863130" w:rsidRDefault="00863130" w:rsidP="00863130">
      <w:pPr>
        <w:spacing w:before="120" w:line="276" w:lineRule="auto"/>
        <w:rPr>
          <w:rFonts w:ascii="Arial" w:hAnsi="Arial" w:cs="Arial"/>
        </w:rPr>
      </w:pPr>
      <w:r w:rsidRPr="00863130">
        <w:rPr>
          <w:rFonts w:ascii="Arial" w:hAnsi="Arial" w:cs="Arial"/>
        </w:rPr>
        <w:t>Eine Situation, die sehr gut in einem Rollenspiel nachgespielt werden kann!</w:t>
      </w:r>
    </w:p>
    <w:p w14:paraId="2F2D5647" w14:textId="77777777" w:rsidR="00863130" w:rsidRPr="00863130" w:rsidRDefault="00863130" w:rsidP="00863130">
      <w:pPr>
        <w:spacing w:before="120" w:line="276" w:lineRule="auto"/>
        <w:rPr>
          <w:rFonts w:ascii="Arial" w:hAnsi="Arial" w:cs="Arial"/>
        </w:rPr>
      </w:pPr>
    </w:p>
    <w:p w14:paraId="7953AB5F" w14:textId="77777777" w:rsidR="00863130" w:rsidRPr="00863130" w:rsidRDefault="00863130" w:rsidP="00863130">
      <w:pPr>
        <w:spacing w:before="120" w:line="276" w:lineRule="auto"/>
        <w:rPr>
          <w:rFonts w:ascii="Arial" w:hAnsi="Arial" w:cs="Arial"/>
        </w:rPr>
      </w:pPr>
      <w:r w:rsidRPr="00863130">
        <w:rPr>
          <w:rFonts w:ascii="Arial" w:hAnsi="Arial" w:cs="Arial"/>
        </w:rPr>
        <w:t xml:space="preserve">Es handelt sich bei dieser Aufgabe nicht um eine Wissensaufgabe, sondern eine Anregung zum Überlegen verschiedener Haltungen und ihrer Wirkungen. </w:t>
      </w:r>
    </w:p>
    <w:p w14:paraId="19E24397" w14:textId="77777777" w:rsidR="00863130" w:rsidRPr="00863130" w:rsidRDefault="00863130" w:rsidP="00863130">
      <w:pPr>
        <w:spacing w:before="120" w:line="276" w:lineRule="auto"/>
        <w:rPr>
          <w:rFonts w:ascii="Arial" w:hAnsi="Arial" w:cs="Arial"/>
        </w:rPr>
      </w:pPr>
    </w:p>
    <w:tbl>
      <w:tblPr>
        <w:tblW w:w="11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14"/>
        <w:gridCol w:w="2197"/>
        <w:gridCol w:w="2268"/>
        <w:gridCol w:w="2410"/>
        <w:gridCol w:w="2693"/>
      </w:tblGrid>
      <w:tr w:rsidR="00863130" w:rsidRPr="00863130" w14:paraId="0FD23E5E" w14:textId="77777777" w:rsidTr="0068599B">
        <w:trPr>
          <w:trHeight w:val="794"/>
        </w:trPr>
        <w:tc>
          <w:tcPr>
            <w:tcW w:w="1914" w:type="dxa"/>
            <w:tcBorders>
              <w:top w:val="nil"/>
              <w:left w:val="nil"/>
            </w:tcBorders>
          </w:tcPr>
          <w:p w14:paraId="1847B6DF" w14:textId="77777777" w:rsidR="00863130" w:rsidRPr="00863130" w:rsidRDefault="00863130" w:rsidP="00863130">
            <w:pPr>
              <w:spacing w:before="120" w:line="276" w:lineRule="auto"/>
              <w:rPr>
                <w:rFonts w:ascii="Arial" w:hAnsi="Arial" w:cs="Arial"/>
              </w:rPr>
            </w:pPr>
          </w:p>
        </w:tc>
        <w:tc>
          <w:tcPr>
            <w:tcW w:w="2197" w:type="dxa"/>
          </w:tcPr>
          <w:p w14:paraId="123F59A3" w14:textId="77777777" w:rsidR="00863130" w:rsidRPr="00863130" w:rsidRDefault="00863130" w:rsidP="00863130">
            <w:pPr>
              <w:spacing w:before="120" w:line="276" w:lineRule="auto"/>
              <w:rPr>
                <w:rFonts w:ascii="Arial" w:hAnsi="Arial" w:cs="Arial"/>
              </w:rPr>
            </w:pPr>
            <w:r w:rsidRPr="00863130">
              <w:rPr>
                <w:rFonts w:ascii="Arial" w:hAnsi="Arial" w:cs="Arial"/>
              </w:rPr>
              <w:t xml:space="preserve">Haltung </w:t>
            </w:r>
          </w:p>
        </w:tc>
        <w:tc>
          <w:tcPr>
            <w:tcW w:w="2268" w:type="dxa"/>
          </w:tcPr>
          <w:p w14:paraId="235E86C7" w14:textId="77777777" w:rsidR="00863130" w:rsidRPr="00863130" w:rsidRDefault="00863130" w:rsidP="00863130">
            <w:pPr>
              <w:spacing w:before="120" w:line="276" w:lineRule="auto"/>
              <w:rPr>
                <w:rFonts w:ascii="Arial" w:hAnsi="Arial" w:cs="Arial"/>
              </w:rPr>
            </w:pPr>
            <w:r w:rsidRPr="00863130">
              <w:rPr>
                <w:rFonts w:ascii="Arial" w:hAnsi="Arial" w:cs="Arial"/>
              </w:rPr>
              <w:t>Erfolg</w:t>
            </w:r>
          </w:p>
        </w:tc>
        <w:tc>
          <w:tcPr>
            <w:tcW w:w="2410" w:type="dxa"/>
          </w:tcPr>
          <w:p w14:paraId="7C653B7C" w14:textId="77777777" w:rsidR="00863130" w:rsidRPr="00863130" w:rsidRDefault="00863130" w:rsidP="00863130">
            <w:pPr>
              <w:spacing w:before="120" w:line="276" w:lineRule="auto"/>
              <w:rPr>
                <w:rFonts w:ascii="Arial" w:hAnsi="Arial" w:cs="Arial"/>
              </w:rPr>
            </w:pPr>
            <w:r w:rsidRPr="00863130">
              <w:rPr>
                <w:rFonts w:ascii="Arial" w:hAnsi="Arial" w:cs="Arial"/>
              </w:rPr>
              <w:t>Bewertung</w:t>
            </w:r>
          </w:p>
        </w:tc>
        <w:tc>
          <w:tcPr>
            <w:tcW w:w="2693" w:type="dxa"/>
          </w:tcPr>
          <w:p w14:paraId="52A7F0EB" w14:textId="77777777" w:rsidR="00863130" w:rsidRPr="00863130" w:rsidRDefault="00863130" w:rsidP="00863130">
            <w:pPr>
              <w:spacing w:before="120" w:line="276" w:lineRule="auto"/>
              <w:rPr>
                <w:rFonts w:ascii="Arial" w:hAnsi="Arial" w:cs="Arial"/>
              </w:rPr>
            </w:pPr>
            <w:r w:rsidRPr="00863130">
              <w:rPr>
                <w:rFonts w:ascii="Arial" w:hAnsi="Arial" w:cs="Arial"/>
              </w:rPr>
              <w:t>Bewertung unabhängig von der Entscheidung</w:t>
            </w:r>
          </w:p>
        </w:tc>
      </w:tr>
      <w:tr w:rsidR="00863130" w:rsidRPr="00863130" w14:paraId="3050C0A7" w14:textId="77777777" w:rsidTr="0068599B">
        <w:trPr>
          <w:trHeight w:val="794"/>
        </w:trPr>
        <w:tc>
          <w:tcPr>
            <w:tcW w:w="1914" w:type="dxa"/>
          </w:tcPr>
          <w:p w14:paraId="0FAF4B35" w14:textId="77777777" w:rsidR="00863130" w:rsidRPr="00863130" w:rsidRDefault="00863130" w:rsidP="00863130">
            <w:pPr>
              <w:spacing w:before="120" w:line="276" w:lineRule="auto"/>
              <w:rPr>
                <w:rFonts w:ascii="Arial" w:hAnsi="Arial" w:cs="Arial"/>
              </w:rPr>
            </w:pPr>
            <w:r w:rsidRPr="00863130">
              <w:rPr>
                <w:rFonts w:ascii="Arial" w:hAnsi="Arial" w:cs="Arial"/>
              </w:rPr>
              <w:t>Josef Sibille</w:t>
            </w:r>
          </w:p>
        </w:tc>
        <w:tc>
          <w:tcPr>
            <w:tcW w:w="2197" w:type="dxa"/>
          </w:tcPr>
          <w:p w14:paraId="52E4E66D" w14:textId="77777777" w:rsidR="00863130" w:rsidRPr="00863130" w:rsidRDefault="00863130" w:rsidP="00863130">
            <w:pPr>
              <w:spacing w:before="120" w:line="276" w:lineRule="auto"/>
              <w:rPr>
                <w:rFonts w:ascii="Arial" w:hAnsi="Arial" w:cs="Arial"/>
              </w:rPr>
            </w:pPr>
            <w:r w:rsidRPr="00863130">
              <w:rPr>
                <w:rFonts w:ascii="Arial" w:hAnsi="Arial" w:cs="Arial"/>
              </w:rPr>
              <w:t xml:space="preserve">diskussionslose Befehlsverweigerung </w:t>
            </w:r>
          </w:p>
        </w:tc>
        <w:tc>
          <w:tcPr>
            <w:tcW w:w="2268" w:type="dxa"/>
          </w:tcPr>
          <w:p w14:paraId="3268C9F3" w14:textId="77777777" w:rsidR="00863130" w:rsidRPr="00863130" w:rsidRDefault="00863130" w:rsidP="00863130">
            <w:pPr>
              <w:spacing w:before="120" w:line="276" w:lineRule="auto"/>
              <w:rPr>
                <w:rFonts w:ascii="Arial" w:hAnsi="Arial" w:cs="Arial"/>
              </w:rPr>
            </w:pPr>
            <w:r w:rsidRPr="00863130">
              <w:rPr>
                <w:rFonts w:ascii="Arial" w:hAnsi="Arial" w:cs="Arial"/>
              </w:rPr>
              <w:t>Sibille wird als «Weichling» beurteilt</w:t>
            </w:r>
          </w:p>
        </w:tc>
        <w:tc>
          <w:tcPr>
            <w:tcW w:w="2410" w:type="dxa"/>
          </w:tcPr>
          <w:p w14:paraId="79184DC2" w14:textId="77777777" w:rsidR="00863130" w:rsidRPr="00863130" w:rsidRDefault="00863130" w:rsidP="00863130">
            <w:pPr>
              <w:spacing w:before="120" w:line="276" w:lineRule="auto"/>
              <w:rPr>
                <w:rFonts w:ascii="Arial" w:hAnsi="Arial" w:cs="Arial"/>
              </w:rPr>
            </w:pPr>
            <w:r w:rsidRPr="00863130">
              <w:rPr>
                <w:rFonts w:ascii="Arial" w:hAnsi="Arial" w:cs="Arial"/>
              </w:rPr>
              <w:t>tapferes Verhalten</w:t>
            </w:r>
          </w:p>
        </w:tc>
        <w:tc>
          <w:tcPr>
            <w:tcW w:w="2693" w:type="dxa"/>
          </w:tcPr>
          <w:p w14:paraId="346C0D8E" w14:textId="77777777" w:rsidR="00863130" w:rsidRPr="00863130" w:rsidRDefault="00863130" w:rsidP="00863130">
            <w:pPr>
              <w:spacing w:before="120" w:line="276" w:lineRule="auto"/>
              <w:rPr>
                <w:rFonts w:ascii="Arial" w:hAnsi="Arial" w:cs="Arial"/>
              </w:rPr>
            </w:pPr>
            <w:r w:rsidRPr="00863130">
              <w:rPr>
                <w:rFonts w:ascii="Arial" w:hAnsi="Arial" w:cs="Arial"/>
              </w:rPr>
              <w:t>Befehlsverweigerung gilt als Sabotage</w:t>
            </w:r>
          </w:p>
        </w:tc>
      </w:tr>
      <w:tr w:rsidR="00863130" w:rsidRPr="00863130" w14:paraId="07EFB7E9" w14:textId="77777777" w:rsidTr="0068599B">
        <w:trPr>
          <w:trHeight w:val="794"/>
        </w:trPr>
        <w:tc>
          <w:tcPr>
            <w:tcW w:w="1914" w:type="dxa"/>
          </w:tcPr>
          <w:p w14:paraId="24FB85C2" w14:textId="77777777" w:rsidR="00863130" w:rsidRPr="00863130" w:rsidRDefault="00863130" w:rsidP="00863130">
            <w:pPr>
              <w:spacing w:before="120" w:line="276" w:lineRule="auto"/>
              <w:rPr>
                <w:rFonts w:ascii="Arial" w:hAnsi="Arial" w:cs="Arial"/>
              </w:rPr>
            </w:pPr>
            <w:r w:rsidRPr="00863130">
              <w:rPr>
                <w:rFonts w:ascii="Arial" w:hAnsi="Arial" w:cs="Arial"/>
              </w:rPr>
              <w:t>Hermann Kuhls</w:t>
            </w:r>
          </w:p>
        </w:tc>
        <w:tc>
          <w:tcPr>
            <w:tcW w:w="2197" w:type="dxa"/>
          </w:tcPr>
          <w:p w14:paraId="60473B11" w14:textId="77777777" w:rsidR="00863130" w:rsidRPr="00863130" w:rsidRDefault="00863130" w:rsidP="00863130">
            <w:pPr>
              <w:spacing w:before="120" w:line="276" w:lineRule="auto"/>
              <w:rPr>
                <w:rFonts w:ascii="Arial" w:hAnsi="Arial" w:cs="Arial"/>
              </w:rPr>
            </w:pPr>
            <w:r w:rsidRPr="00863130">
              <w:rPr>
                <w:rFonts w:ascii="Arial" w:hAnsi="Arial" w:cs="Arial"/>
              </w:rPr>
              <w:t>diskussionsloser Gehorsam</w:t>
            </w:r>
          </w:p>
        </w:tc>
        <w:tc>
          <w:tcPr>
            <w:tcW w:w="2268" w:type="dxa"/>
          </w:tcPr>
          <w:p w14:paraId="27B1E1FB" w14:textId="77777777" w:rsidR="00863130" w:rsidRPr="00863130" w:rsidRDefault="00863130" w:rsidP="00863130">
            <w:pPr>
              <w:spacing w:before="120" w:line="276" w:lineRule="auto"/>
              <w:rPr>
                <w:rFonts w:ascii="Arial" w:hAnsi="Arial" w:cs="Arial"/>
              </w:rPr>
            </w:pPr>
            <w:r w:rsidRPr="00863130">
              <w:rPr>
                <w:rFonts w:ascii="Arial" w:hAnsi="Arial" w:cs="Arial"/>
              </w:rPr>
              <w:t>Kuhls wird als loyal beurteilt</w:t>
            </w:r>
          </w:p>
        </w:tc>
        <w:tc>
          <w:tcPr>
            <w:tcW w:w="2410" w:type="dxa"/>
          </w:tcPr>
          <w:p w14:paraId="6E3715C0" w14:textId="77777777" w:rsidR="00863130" w:rsidRPr="00863130" w:rsidRDefault="00863130" w:rsidP="00863130">
            <w:pPr>
              <w:spacing w:before="120" w:line="276" w:lineRule="auto"/>
              <w:rPr>
                <w:rFonts w:ascii="Arial" w:hAnsi="Arial" w:cs="Arial"/>
              </w:rPr>
            </w:pPr>
            <w:r w:rsidRPr="00863130">
              <w:rPr>
                <w:rFonts w:ascii="Arial" w:hAnsi="Arial" w:cs="Arial"/>
              </w:rPr>
              <w:t xml:space="preserve">Unterwerfung unter verbrecherischen Befehl </w:t>
            </w:r>
          </w:p>
        </w:tc>
        <w:tc>
          <w:tcPr>
            <w:tcW w:w="2693" w:type="dxa"/>
          </w:tcPr>
          <w:p w14:paraId="524A5019" w14:textId="77777777" w:rsidR="00863130" w:rsidRPr="00863130" w:rsidRDefault="00863130" w:rsidP="00863130">
            <w:pPr>
              <w:spacing w:before="120" w:line="276" w:lineRule="auto"/>
              <w:rPr>
                <w:rFonts w:ascii="Arial" w:hAnsi="Arial" w:cs="Arial"/>
              </w:rPr>
            </w:pPr>
            <w:r w:rsidRPr="00863130">
              <w:rPr>
                <w:rFonts w:ascii="Arial" w:hAnsi="Arial" w:cs="Arial"/>
              </w:rPr>
              <w:t>Gehorsam gilt als Normalfall</w:t>
            </w:r>
          </w:p>
        </w:tc>
      </w:tr>
      <w:tr w:rsidR="00863130" w:rsidRPr="00863130" w14:paraId="264C6630" w14:textId="77777777" w:rsidTr="0068599B">
        <w:trPr>
          <w:trHeight w:val="794"/>
        </w:trPr>
        <w:tc>
          <w:tcPr>
            <w:tcW w:w="1914" w:type="dxa"/>
          </w:tcPr>
          <w:p w14:paraId="126F1D8B" w14:textId="77777777" w:rsidR="00863130" w:rsidRPr="00863130" w:rsidRDefault="00863130" w:rsidP="00863130">
            <w:pPr>
              <w:spacing w:before="120" w:line="276" w:lineRule="auto"/>
              <w:rPr>
                <w:rFonts w:ascii="Arial" w:hAnsi="Arial" w:cs="Arial"/>
              </w:rPr>
            </w:pPr>
            <w:r w:rsidRPr="00863130">
              <w:rPr>
                <w:rFonts w:ascii="Arial" w:hAnsi="Arial" w:cs="Arial"/>
              </w:rPr>
              <w:t xml:space="preserve">Friedrich </w:t>
            </w:r>
            <w:proofErr w:type="spellStart"/>
            <w:r w:rsidRPr="00863130">
              <w:rPr>
                <w:rFonts w:ascii="Arial" w:hAnsi="Arial" w:cs="Arial"/>
              </w:rPr>
              <w:t>Nöll</w:t>
            </w:r>
            <w:proofErr w:type="spellEnd"/>
          </w:p>
        </w:tc>
        <w:tc>
          <w:tcPr>
            <w:tcW w:w="2197" w:type="dxa"/>
          </w:tcPr>
          <w:p w14:paraId="4BCD244E" w14:textId="77777777" w:rsidR="00863130" w:rsidRPr="00863130" w:rsidRDefault="00863130" w:rsidP="00863130">
            <w:pPr>
              <w:spacing w:before="120" w:line="276" w:lineRule="auto"/>
              <w:rPr>
                <w:rFonts w:ascii="Arial" w:hAnsi="Arial" w:cs="Arial"/>
              </w:rPr>
            </w:pPr>
            <w:r w:rsidRPr="00863130">
              <w:rPr>
                <w:rFonts w:ascii="Arial" w:hAnsi="Arial" w:cs="Arial"/>
              </w:rPr>
              <w:t>Zweifel, Absicherung, schliesslich Ausführen des Befehls</w:t>
            </w:r>
          </w:p>
        </w:tc>
        <w:tc>
          <w:tcPr>
            <w:tcW w:w="2268" w:type="dxa"/>
          </w:tcPr>
          <w:p w14:paraId="17F690C4" w14:textId="77777777" w:rsidR="00863130" w:rsidRPr="00863130" w:rsidRDefault="00863130" w:rsidP="00863130">
            <w:pPr>
              <w:spacing w:before="120" w:line="276" w:lineRule="auto"/>
              <w:rPr>
                <w:rFonts w:ascii="Arial" w:hAnsi="Arial" w:cs="Arial"/>
              </w:rPr>
            </w:pPr>
            <w:proofErr w:type="spellStart"/>
            <w:r w:rsidRPr="00863130">
              <w:rPr>
                <w:rFonts w:ascii="Arial" w:hAnsi="Arial" w:cs="Arial"/>
              </w:rPr>
              <w:t>Nöll</w:t>
            </w:r>
            <w:proofErr w:type="spellEnd"/>
            <w:r w:rsidRPr="00863130">
              <w:rPr>
                <w:rFonts w:ascii="Arial" w:hAnsi="Arial" w:cs="Arial"/>
              </w:rPr>
              <w:t xml:space="preserve"> führt den Befehl aus, wird aber doch als unzuverlässig beurteilt</w:t>
            </w:r>
          </w:p>
        </w:tc>
        <w:tc>
          <w:tcPr>
            <w:tcW w:w="2410" w:type="dxa"/>
          </w:tcPr>
          <w:p w14:paraId="691C6D2B" w14:textId="77777777" w:rsidR="00863130" w:rsidRPr="00863130" w:rsidRDefault="00863130" w:rsidP="00863130">
            <w:pPr>
              <w:spacing w:before="120" w:line="276" w:lineRule="auto"/>
              <w:rPr>
                <w:rFonts w:ascii="Arial" w:hAnsi="Arial" w:cs="Arial"/>
              </w:rPr>
            </w:pPr>
          </w:p>
        </w:tc>
        <w:tc>
          <w:tcPr>
            <w:tcW w:w="2693" w:type="dxa"/>
          </w:tcPr>
          <w:p w14:paraId="0294ECC8" w14:textId="77777777" w:rsidR="00863130" w:rsidRPr="00863130" w:rsidRDefault="00863130" w:rsidP="00863130">
            <w:pPr>
              <w:spacing w:before="120" w:line="276" w:lineRule="auto"/>
              <w:rPr>
                <w:rFonts w:ascii="Arial" w:hAnsi="Arial" w:cs="Arial"/>
              </w:rPr>
            </w:pPr>
            <w:r w:rsidRPr="00863130">
              <w:rPr>
                <w:rFonts w:ascii="Arial" w:hAnsi="Arial" w:cs="Arial"/>
              </w:rPr>
              <w:t xml:space="preserve">umsichtiges, Abwägen zwischen Befehl und Gewissen </w:t>
            </w:r>
          </w:p>
        </w:tc>
      </w:tr>
    </w:tbl>
    <w:p w14:paraId="5BF8F563" w14:textId="77777777" w:rsidR="00863130" w:rsidRPr="00863130" w:rsidRDefault="00863130" w:rsidP="00863130">
      <w:pPr>
        <w:spacing w:before="120" w:line="276" w:lineRule="auto"/>
        <w:rPr>
          <w:rFonts w:ascii="Arial" w:hAnsi="Arial" w:cs="Arial"/>
        </w:rPr>
      </w:pPr>
      <w:r w:rsidRPr="00863130">
        <w:rPr>
          <w:rFonts w:ascii="Arial" w:hAnsi="Arial" w:cs="Arial"/>
        </w:rPr>
        <w:t xml:space="preserve"> </w:t>
      </w:r>
    </w:p>
    <w:p w14:paraId="78EABF69" w14:textId="77777777" w:rsidR="00863130" w:rsidRPr="00863130" w:rsidRDefault="00863130" w:rsidP="00863130">
      <w:pPr>
        <w:spacing w:before="120" w:line="276" w:lineRule="auto"/>
        <w:rPr>
          <w:rFonts w:ascii="Arial" w:hAnsi="Arial" w:cs="Arial"/>
        </w:rPr>
      </w:pPr>
      <w:r w:rsidRPr="00863130">
        <w:rPr>
          <w:rFonts w:ascii="Arial" w:hAnsi="Arial" w:cs="Arial"/>
        </w:rPr>
        <w:t xml:space="preserve">Die Schülerinnen und Schüler werden erkennen, dass das normale und gewünschte Verhalten einem Befehl gegenüber in diesem Fall problematisch war, dass sich mithin in aussergewöhnlichen Situationen Dilemmas ergeben. </w:t>
      </w:r>
    </w:p>
    <w:sectPr w:rsidR="00863130" w:rsidRPr="00863130" w:rsidSect="00863130">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C2E2E" w14:textId="77777777" w:rsidR="00064D1B" w:rsidRDefault="00064D1B" w:rsidP="007E39E7">
      <w:r>
        <w:separator/>
      </w:r>
    </w:p>
  </w:endnote>
  <w:endnote w:type="continuationSeparator" w:id="0">
    <w:p w14:paraId="7454B08A" w14:textId="77777777" w:rsidR="00064D1B" w:rsidRDefault="00064D1B"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5CE0" w14:textId="77777777" w:rsidR="00064D1B" w:rsidRDefault="00064D1B" w:rsidP="007E39E7">
      <w:r>
        <w:separator/>
      </w:r>
    </w:p>
  </w:footnote>
  <w:footnote w:type="continuationSeparator" w:id="0">
    <w:p w14:paraId="42383C4C" w14:textId="77777777" w:rsidR="00064D1B" w:rsidRDefault="00064D1B" w:rsidP="007E39E7">
      <w:r>
        <w:continuationSeparator/>
      </w:r>
    </w:p>
  </w:footnote>
  <w:footnote w:id="1">
    <w:p w14:paraId="556A293C" w14:textId="77777777" w:rsidR="00863130" w:rsidRPr="00A763AF" w:rsidRDefault="00863130" w:rsidP="00863130">
      <w:pPr>
        <w:pStyle w:val="Funotentext"/>
        <w:ind w:left="284" w:hanging="284"/>
        <w:jc w:val="both"/>
        <w:rPr>
          <w:lang w:val="de-CH"/>
        </w:rPr>
      </w:pPr>
      <w:r>
        <w:rPr>
          <w:rStyle w:val="Funotenzeichen"/>
        </w:rPr>
        <w:footnoteRef/>
      </w:r>
      <w:r w:rsidRPr="00863130">
        <w:rPr>
          <w:lang w:val="de-CH"/>
        </w:rPr>
        <w:t xml:space="preserve"> </w:t>
      </w:r>
      <w:r>
        <w:rPr>
          <w:lang w:val="de-CH"/>
        </w:rPr>
        <w:tab/>
        <w:t xml:space="preserve">Hier kommen drei militärische Formationen zur Sprache: Ein Regiment besteht aus einigen Bataillonen, ein Bataillon aus drei bis fünf Kompanien; eine Kompanie zählt rund hundert Soldaten.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9"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91397D"/>
    <w:multiLevelType w:val="hybridMultilevel"/>
    <w:tmpl w:val="DF962D98"/>
    <w:lvl w:ilvl="0" w:tplc="7C426894">
      <w:start w:val="1"/>
      <w:numFmt w:val="bullet"/>
      <w:pStyle w:val="Aufzhlungszeichen"/>
      <w:lvlText w:val=""/>
      <w:lvlJc w:val="left"/>
      <w:pPr>
        <w:tabs>
          <w:tab w:val="num" w:pos="360"/>
        </w:tabs>
        <w:ind w:left="284" w:hanging="284"/>
      </w:pPr>
      <w:rPr>
        <w:rFonts w:ascii="Symbol" w:hAnsi="Symbol" w:hint="default"/>
        <w:b w:val="0"/>
        <w:i w:val="0"/>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D1B"/>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23696B"/>
    <w:rsid w:val="00237F7D"/>
    <w:rsid w:val="00244659"/>
    <w:rsid w:val="00253573"/>
    <w:rsid w:val="00253773"/>
    <w:rsid w:val="00257410"/>
    <w:rsid w:val="00276C2B"/>
    <w:rsid w:val="0028058F"/>
    <w:rsid w:val="00285673"/>
    <w:rsid w:val="00295706"/>
    <w:rsid w:val="0029666D"/>
    <w:rsid w:val="002B2C14"/>
    <w:rsid w:val="002C42C1"/>
    <w:rsid w:val="002C5B86"/>
    <w:rsid w:val="002C69FD"/>
    <w:rsid w:val="002D02BF"/>
    <w:rsid w:val="002E7567"/>
    <w:rsid w:val="0030397A"/>
    <w:rsid w:val="00312ACB"/>
    <w:rsid w:val="0035390B"/>
    <w:rsid w:val="0038308A"/>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08D7"/>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76B4B"/>
    <w:rsid w:val="0068599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63130"/>
    <w:rsid w:val="0088294D"/>
    <w:rsid w:val="00885915"/>
    <w:rsid w:val="00891CDC"/>
    <w:rsid w:val="00897B40"/>
    <w:rsid w:val="008A16E2"/>
    <w:rsid w:val="008A1FE7"/>
    <w:rsid w:val="008A5FB5"/>
    <w:rsid w:val="008B7E82"/>
    <w:rsid w:val="008C1EDD"/>
    <w:rsid w:val="008E75A4"/>
    <w:rsid w:val="00925BE2"/>
    <w:rsid w:val="00927FF7"/>
    <w:rsid w:val="0094177B"/>
    <w:rsid w:val="0095322C"/>
    <w:rsid w:val="00954C00"/>
    <w:rsid w:val="009732FC"/>
    <w:rsid w:val="00997F5B"/>
    <w:rsid w:val="009C02C8"/>
    <w:rsid w:val="009E7C12"/>
    <w:rsid w:val="009F035F"/>
    <w:rsid w:val="009F22DB"/>
    <w:rsid w:val="00A03442"/>
    <w:rsid w:val="00A126A1"/>
    <w:rsid w:val="00A14888"/>
    <w:rsid w:val="00A27A30"/>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1514"/>
    <w:rsid w:val="00B632EF"/>
    <w:rsid w:val="00B70949"/>
    <w:rsid w:val="00BA5DD3"/>
    <w:rsid w:val="00BC19D9"/>
    <w:rsid w:val="00BE139F"/>
    <w:rsid w:val="00C14815"/>
    <w:rsid w:val="00C15A93"/>
    <w:rsid w:val="00C17C97"/>
    <w:rsid w:val="00C309A6"/>
    <w:rsid w:val="00C33BEB"/>
    <w:rsid w:val="00C42724"/>
    <w:rsid w:val="00C52BFE"/>
    <w:rsid w:val="00C660A6"/>
    <w:rsid w:val="00C6689B"/>
    <w:rsid w:val="00C76967"/>
    <w:rsid w:val="00C87196"/>
    <w:rsid w:val="00C9647D"/>
    <w:rsid w:val="00CA0678"/>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186F"/>
    <w:rsid w:val="00E229A2"/>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Aufzhlungszeichen">
    <w:name w:val="List Bullet"/>
    <w:basedOn w:val="Standard"/>
    <w:semiHidden/>
    <w:rsid w:val="00863130"/>
    <w:pPr>
      <w:numPr>
        <w:numId w:val="1"/>
      </w:numPr>
    </w:pPr>
    <w:rPr>
      <w:rFonts w:eastAsia="Times"/>
      <w:bCs/>
      <w:szCs w:val="20"/>
      <w:lang w:val="de-DE"/>
    </w:rPr>
  </w:style>
  <w:style w:type="paragraph" w:styleId="Textkrper2">
    <w:name w:val="Body Text 2"/>
    <w:basedOn w:val="Standard"/>
    <w:link w:val="Textkrper2Zchn"/>
    <w:semiHidden/>
    <w:rsid w:val="00863130"/>
    <w:pPr>
      <w:jc w:val="both"/>
    </w:pPr>
    <w:rPr>
      <w:rFonts w:eastAsia="Times"/>
      <w:szCs w:val="20"/>
      <w:lang w:val="de-DE"/>
    </w:rPr>
  </w:style>
  <w:style w:type="character" w:customStyle="1" w:styleId="Textkrper2Zchn">
    <w:name w:val="Textkörper 2 Zchn"/>
    <w:basedOn w:val="Absatz-Standardschriftart"/>
    <w:link w:val="Textkrper2"/>
    <w:semiHidden/>
    <w:rsid w:val="00863130"/>
    <w:rPr>
      <w:rFonts w:ascii="Times New Roman" w:eastAsia="Times" w:hAnsi="Times New Roman" w:cs="Times New Roman"/>
      <w:szCs w:val="20"/>
      <w:lang w:val="de-DE" w:eastAsia="de-DE"/>
    </w:rPr>
  </w:style>
  <w:style w:type="paragraph" w:styleId="Textkrper3">
    <w:name w:val="Body Text 3"/>
    <w:basedOn w:val="Standard"/>
    <w:link w:val="Textkrper3Zchn"/>
    <w:semiHidden/>
    <w:rsid w:val="00863130"/>
    <w:rPr>
      <w:rFonts w:eastAsia="Times"/>
      <w:sz w:val="20"/>
      <w:szCs w:val="20"/>
      <w:lang w:val="de-DE"/>
    </w:rPr>
  </w:style>
  <w:style w:type="character" w:customStyle="1" w:styleId="Textkrper3Zchn">
    <w:name w:val="Textkörper 3 Zchn"/>
    <w:basedOn w:val="Absatz-Standardschriftart"/>
    <w:link w:val="Textkrper3"/>
    <w:semiHidden/>
    <w:rsid w:val="00863130"/>
    <w:rPr>
      <w:rFonts w:ascii="Times New Roman" w:eastAsia="Times"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1020</Words>
  <Characters>6432</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14</cp:revision>
  <cp:lastPrinted>2021-07-14T09:10:00Z</cp:lastPrinted>
  <dcterms:created xsi:type="dcterms:W3CDTF">2021-07-14T08:35:00Z</dcterms:created>
  <dcterms:modified xsi:type="dcterms:W3CDTF">2022-02-19T10:08:00Z</dcterms:modified>
</cp:coreProperties>
</file>